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ABDFC" w14:textId="77777777" w:rsidR="00D41D29" w:rsidRPr="00F33474" w:rsidRDefault="00D41D29" w:rsidP="00D41D29">
      <w:pPr>
        <w:jc w:val="center"/>
        <w:rPr>
          <w:rFonts w:cs="Calibri"/>
          <w:sz w:val="24"/>
          <w:szCs w:val="24"/>
          <w:lang w:val="en-US"/>
        </w:rPr>
      </w:pPr>
      <w:r w:rsidRPr="00F33474">
        <w:rPr>
          <w:rFonts w:cs="Calibri"/>
          <w:sz w:val="24"/>
          <w:szCs w:val="24"/>
          <w:lang w:val="en-US"/>
        </w:rPr>
        <w:t>FINAL REPORT</w:t>
      </w:r>
    </w:p>
    <w:p w14:paraId="13BEE624" w14:textId="77777777" w:rsidR="00D41D29" w:rsidRPr="00F33474" w:rsidRDefault="00D41D29" w:rsidP="00D41D29">
      <w:pPr>
        <w:jc w:val="center"/>
        <w:rPr>
          <w:rFonts w:cs="Calibri"/>
          <w:sz w:val="24"/>
          <w:szCs w:val="24"/>
          <w:lang w:val="en-US"/>
        </w:rPr>
      </w:pPr>
    </w:p>
    <w:p w14:paraId="55CB8E50" w14:textId="77777777" w:rsidR="00D41D29" w:rsidRPr="00F33474" w:rsidRDefault="00D41D29" w:rsidP="00D41D29">
      <w:pPr>
        <w:jc w:val="center"/>
        <w:rPr>
          <w:rFonts w:cs="Calibri"/>
          <w:sz w:val="24"/>
          <w:szCs w:val="24"/>
          <w:lang w:val="en-US"/>
        </w:rPr>
      </w:pPr>
    </w:p>
    <w:p w14:paraId="7C7749D4" w14:textId="29A30AC4" w:rsidR="00D41D29" w:rsidRPr="001D5441" w:rsidRDefault="00D41D29" w:rsidP="6B458D99">
      <w:pPr>
        <w:jc w:val="center"/>
        <w:rPr>
          <w:rFonts w:cs="Calibri"/>
          <w:color w:val="000000" w:themeColor="text1"/>
          <w:sz w:val="24"/>
          <w:szCs w:val="24"/>
          <w:lang w:val="en-US"/>
        </w:rPr>
      </w:pPr>
      <w:r w:rsidRPr="6B458D99">
        <w:rPr>
          <w:rFonts w:cs="Calibri"/>
          <w:sz w:val="24"/>
          <w:szCs w:val="24"/>
          <w:lang w:val="en-US"/>
        </w:rPr>
        <w:t xml:space="preserve">TCD Practicum </w:t>
      </w:r>
      <w:r w:rsidRPr="6B458D99">
        <w:rPr>
          <w:rFonts w:cs="Calibri"/>
          <w:color w:val="000000" w:themeColor="text1"/>
          <w:sz w:val="24"/>
          <w:szCs w:val="24"/>
          <w:lang w:val="en-US"/>
        </w:rPr>
        <w:t>LAS 69</w:t>
      </w:r>
      <w:r w:rsidR="001D5441" w:rsidRPr="6B458D99">
        <w:rPr>
          <w:rFonts w:cs="Calibri"/>
          <w:color w:val="000000" w:themeColor="text1"/>
          <w:sz w:val="24"/>
          <w:szCs w:val="24"/>
          <w:lang w:val="en-US"/>
        </w:rPr>
        <w:t>41</w:t>
      </w:r>
    </w:p>
    <w:p w14:paraId="59A77072" w14:textId="77777777" w:rsidR="00D41D29" w:rsidRPr="00F33474" w:rsidRDefault="00D41D29" w:rsidP="003134FF">
      <w:pPr>
        <w:jc w:val="center"/>
        <w:rPr>
          <w:rFonts w:cs="Calibri"/>
          <w:sz w:val="24"/>
          <w:szCs w:val="24"/>
          <w:lang w:val="en-US"/>
        </w:rPr>
      </w:pPr>
    </w:p>
    <w:p w14:paraId="3338A8DA" w14:textId="77777777" w:rsidR="003134FF" w:rsidRPr="00F33474" w:rsidRDefault="003134FF" w:rsidP="003134FF">
      <w:pPr>
        <w:jc w:val="center"/>
        <w:rPr>
          <w:rFonts w:cs="Calibri"/>
          <w:sz w:val="24"/>
          <w:szCs w:val="24"/>
          <w:lang w:val="en-US"/>
        </w:rPr>
      </w:pPr>
    </w:p>
    <w:p w14:paraId="5AA5B5ED" w14:textId="77777777" w:rsidR="001B1045" w:rsidRPr="00F33474" w:rsidRDefault="001B1045" w:rsidP="001B1045">
      <w:pPr>
        <w:spacing w:line="240" w:lineRule="auto"/>
        <w:jc w:val="center"/>
        <w:rPr>
          <w:rFonts w:eastAsia="Times New Roman"/>
          <w:sz w:val="24"/>
          <w:szCs w:val="24"/>
          <w:lang w:val="en-US"/>
        </w:rPr>
      </w:pPr>
      <w:r w:rsidRPr="00F33474">
        <w:rPr>
          <w:rFonts w:eastAsia="Times New Roman"/>
          <w:sz w:val="24"/>
          <w:szCs w:val="24"/>
          <w:lang w:val="en-US"/>
        </w:rPr>
        <w:t>Participatory Arts and Science for Youth Engagement in Biocultural Diversity Conservation in the Colombian Amazon</w:t>
      </w:r>
    </w:p>
    <w:p w14:paraId="22C52B87" w14:textId="68C7F8EE" w:rsidR="00D41D29" w:rsidRPr="00F33474" w:rsidRDefault="00D41D29" w:rsidP="003134FF">
      <w:pPr>
        <w:spacing w:line="240" w:lineRule="auto"/>
        <w:jc w:val="center"/>
        <w:rPr>
          <w:rFonts w:eastAsia="Times New Roman" w:cs="Calibri"/>
          <w:sz w:val="24"/>
          <w:szCs w:val="24"/>
          <w:lang w:val="en-US"/>
        </w:rPr>
      </w:pPr>
    </w:p>
    <w:p w14:paraId="4B1326DE" w14:textId="77777777" w:rsidR="00D41D29" w:rsidRPr="00F33474" w:rsidRDefault="00D41D29" w:rsidP="003134FF">
      <w:pPr>
        <w:jc w:val="center"/>
        <w:rPr>
          <w:rFonts w:cs="Calibri"/>
          <w:sz w:val="24"/>
          <w:szCs w:val="24"/>
          <w:lang w:val="en-US"/>
        </w:rPr>
      </w:pPr>
    </w:p>
    <w:p w14:paraId="1DD3FB39" w14:textId="77777777" w:rsidR="003134FF" w:rsidRPr="00F33474" w:rsidRDefault="003134FF" w:rsidP="003134FF">
      <w:pPr>
        <w:jc w:val="center"/>
        <w:rPr>
          <w:rFonts w:cs="Calibri"/>
          <w:sz w:val="24"/>
          <w:szCs w:val="24"/>
          <w:lang w:val="en-US"/>
        </w:rPr>
      </w:pPr>
    </w:p>
    <w:p w14:paraId="32CE5CDD" w14:textId="63774677" w:rsidR="00D41D29" w:rsidRPr="00F33474" w:rsidRDefault="00D41D29" w:rsidP="003134FF">
      <w:pPr>
        <w:jc w:val="center"/>
        <w:rPr>
          <w:rFonts w:cs="Calibri"/>
          <w:sz w:val="24"/>
          <w:szCs w:val="24"/>
          <w:lang w:val="en-US"/>
        </w:rPr>
      </w:pPr>
      <w:r w:rsidRPr="00F33474">
        <w:rPr>
          <w:rFonts w:cs="Calibri"/>
          <w:sz w:val="24"/>
          <w:szCs w:val="24"/>
          <w:lang w:val="en-US"/>
        </w:rPr>
        <w:t>CAROLINA SIMON-PARDO</w:t>
      </w:r>
    </w:p>
    <w:p w14:paraId="7F467EDE" w14:textId="77777777" w:rsidR="00D41D29" w:rsidRPr="00F33474" w:rsidRDefault="00D41D29" w:rsidP="003134FF">
      <w:pPr>
        <w:jc w:val="center"/>
        <w:rPr>
          <w:rFonts w:cs="Calibri"/>
          <w:sz w:val="24"/>
          <w:szCs w:val="24"/>
          <w:lang w:val="en-US"/>
        </w:rPr>
      </w:pPr>
    </w:p>
    <w:p w14:paraId="4B9BA047" w14:textId="77777777" w:rsidR="003134FF" w:rsidRPr="00F33474" w:rsidRDefault="003134FF" w:rsidP="003134FF">
      <w:pPr>
        <w:jc w:val="center"/>
        <w:rPr>
          <w:rFonts w:cs="Calibri"/>
          <w:sz w:val="24"/>
          <w:szCs w:val="24"/>
          <w:lang w:val="en-US"/>
        </w:rPr>
      </w:pPr>
    </w:p>
    <w:p w14:paraId="54FD18BC" w14:textId="7D1F6A47" w:rsidR="00D41D29" w:rsidRDefault="00D41D29" w:rsidP="003134FF">
      <w:pPr>
        <w:jc w:val="center"/>
        <w:rPr>
          <w:rFonts w:cs="Calibri"/>
          <w:sz w:val="24"/>
          <w:szCs w:val="24"/>
          <w:lang w:val="en-US"/>
        </w:rPr>
      </w:pPr>
      <w:r w:rsidRPr="00F33474">
        <w:rPr>
          <w:rFonts w:cs="Calibri"/>
          <w:sz w:val="24"/>
          <w:szCs w:val="24"/>
          <w:lang w:val="en-US"/>
        </w:rPr>
        <w:t>School of Environment and Natural Resources</w:t>
      </w:r>
    </w:p>
    <w:p w14:paraId="7F392AD4" w14:textId="025EF01F" w:rsidR="008123ED" w:rsidRPr="00F33474" w:rsidRDefault="008123ED" w:rsidP="003134FF">
      <w:pPr>
        <w:jc w:val="center"/>
        <w:rPr>
          <w:rFonts w:cs="Calibri"/>
          <w:sz w:val="24"/>
          <w:szCs w:val="24"/>
          <w:lang w:val="en-US"/>
        </w:rPr>
      </w:pPr>
      <w:r>
        <w:rPr>
          <w:rFonts w:cs="Calibri"/>
          <w:sz w:val="24"/>
          <w:szCs w:val="24"/>
          <w:lang w:val="en-US"/>
        </w:rPr>
        <w:t>Interdisciplinary Ecology PhD Program</w:t>
      </w:r>
    </w:p>
    <w:p w14:paraId="2846055C" w14:textId="7BFDBDA8" w:rsidR="00D41D29" w:rsidRPr="00F33474" w:rsidRDefault="00D41D29" w:rsidP="003134FF">
      <w:pPr>
        <w:jc w:val="center"/>
        <w:rPr>
          <w:rFonts w:cs="Calibri"/>
          <w:sz w:val="24"/>
          <w:szCs w:val="24"/>
          <w:lang w:val="en-US"/>
        </w:rPr>
      </w:pPr>
      <w:r w:rsidRPr="00F33474">
        <w:rPr>
          <w:rFonts w:cs="Calibri"/>
          <w:sz w:val="24"/>
          <w:szCs w:val="24"/>
          <w:lang w:val="en-US"/>
        </w:rPr>
        <w:t xml:space="preserve">Tropical Conservation and Development </w:t>
      </w:r>
      <w:r w:rsidR="008123ED">
        <w:rPr>
          <w:rFonts w:cs="Calibri"/>
          <w:sz w:val="24"/>
          <w:szCs w:val="24"/>
          <w:lang w:val="en-US"/>
        </w:rPr>
        <w:t xml:space="preserve">Certificate </w:t>
      </w:r>
      <w:r w:rsidRPr="00F33474">
        <w:rPr>
          <w:rFonts w:cs="Calibri"/>
          <w:sz w:val="24"/>
          <w:szCs w:val="24"/>
          <w:lang w:val="en-US"/>
        </w:rPr>
        <w:t>Program</w:t>
      </w:r>
    </w:p>
    <w:p w14:paraId="6F56F169" w14:textId="77777777" w:rsidR="00D41D29" w:rsidRPr="00F33474" w:rsidRDefault="00D41D29" w:rsidP="003134FF">
      <w:pPr>
        <w:jc w:val="center"/>
        <w:rPr>
          <w:rFonts w:cs="Calibri"/>
          <w:sz w:val="24"/>
          <w:szCs w:val="24"/>
          <w:lang w:val="en-US"/>
        </w:rPr>
      </w:pPr>
    </w:p>
    <w:p w14:paraId="1272172E" w14:textId="77777777" w:rsidR="003134FF" w:rsidRPr="00F33474" w:rsidRDefault="003134FF" w:rsidP="003134FF">
      <w:pPr>
        <w:jc w:val="center"/>
        <w:rPr>
          <w:rFonts w:cs="Calibri"/>
          <w:sz w:val="24"/>
          <w:szCs w:val="24"/>
          <w:lang w:val="en-US"/>
        </w:rPr>
      </w:pPr>
    </w:p>
    <w:p w14:paraId="4FD2DF05" w14:textId="214857A4" w:rsidR="00D41D29" w:rsidRDefault="00D41D29" w:rsidP="003134FF">
      <w:pPr>
        <w:jc w:val="center"/>
        <w:rPr>
          <w:rFonts w:cs="Calibri"/>
          <w:sz w:val="24"/>
          <w:szCs w:val="24"/>
          <w:lang w:val="en-US"/>
        </w:rPr>
      </w:pPr>
      <w:r w:rsidRPr="00F33474">
        <w:rPr>
          <w:rFonts w:cs="Calibri"/>
          <w:sz w:val="24"/>
          <w:szCs w:val="24"/>
          <w:lang w:val="en-US"/>
        </w:rPr>
        <w:t>PhD advisor: Dr. Yue Li</w:t>
      </w:r>
    </w:p>
    <w:p w14:paraId="6441931C" w14:textId="77777777" w:rsidR="008123ED" w:rsidRPr="008123ED" w:rsidRDefault="008123ED" w:rsidP="008123ED">
      <w:pPr>
        <w:jc w:val="center"/>
        <w:rPr>
          <w:rFonts w:cs="Calibri"/>
          <w:sz w:val="24"/>
          <w:szCs w:val="24"/>
          <w:lang w:val="en-US"/>
        </w:rPr>
      </w:pPr>
      <w:r w:rsidRPr="008123ED">
        <w:rPr>
          <w:rFonts w:cs="Calibri"/>
          <w:sz w:val="24"/>
          <w:szCs w:val="24"/>
          <w:lang w:val="en-US"/>
        </w:rPr>
        <w:t>School of Forest, Fisheries, and Geomatics Sciences (SFFGS)</w:t>
      </w:r>
    </w:p>
    <w:p w14:paraId="42B58A2A" w14:textId="23B0140B" w:rsidR="008123ED" w:rsidRPr="008123ED" w:rsidRDefault="008123ED" w:rsidP="008123ED">
      <w:pPr>
        <w:jc w:val="center"/>
        <w:rPr>
          <w:rFonts w:cs="Calibri"/>
          <w:sz w:val="24"/>
          <w:szCs w:val="24"/>
          <w:lang w:val="en-US"/>
        </w:rPr>
      </w:pPr>
      <w:r w:rsidRPr="008123ED">
        <w:rPr>
          <w:rFonts w:cs="Calibri"/>
          <w:sz w:val="24"/>
          <w:szCs w:val="24"/>
          <w:lang w:val="en-US"/>
        </w:rPr>
        <w:t>UF Institute of Food and Agricultural Sciences (UF/IFAS)</w:t>
      </w:r>
    </w:p>
    <w:p w14:paraId="09573449" w14:textId="77777777" w:rsidR="008123ED" w:rsidRPr="00F33474" w:rsidRDefault="008123ED" w:rsidP="003134FF">
      <w:pPr>
        <w:jc w:val="center"/>
        <w:rPr>
          <w:rFonts w:cs="Calibri"/>
          <w:sz w:val="24"/>
          <w:szCs w:val="24"/>
          <w:lang w:val="en-US"/>
        </w:rPr>
      </w:pPr>
    </w:p>
    <w:p w14:paraId="6FFB6DA0" w14:textId="77777777" w:rsidR="00D41D29" w:rsidRPr="00F33474" w:rsidRDefault="00D41D29" w:rsidP="003134FF">
      <w:pPr>
        <w:jc w:val="center"/>
        <w:rPr>
          <w:rFonts w:cs="Calibri"/>
          <w:sz w:val="24"/>
          <w:szCs w:val="24"/>
          <w:lang w:val="en-US"/>
        </w:rPr>
      </w:pPr>
    </w:p>
    <w:p w14:paraId="4F63FEDB" w14:textId="77777777" w:rsidR="00D41D29" w:rsidRPr="00F33474" w:rsidRDefault="00D41D29" w:rsidP="003134FF">
      <w:pPr>
        <w:jc w:val="center"/>
        <w:rPr>
          <w:rFonts w:cs="Calibri"/>
          <w:sz w:val="24"/>
          <w:szCs w:val="24"/>
          <w:lang w:val="en-US"/>
        </w:rPr>
      </w:pPr>
    </w:p>
    <w:p w14:paraId="1D5F8DB0" w14:textId="77777777" w:rsidR="00D41D29" w:rsidRPr="00F33474" w:rsidRDefault="00D41D29" w:rsidP="008123ED">
      <w:pPr>
        <w:rPr>
          <w:rFonts w:cs="Calibri"/>
          <w:sz w:val="24"/>
          <w:szCs w:val="24"/>
          <w:lang w:val="en-US"/>
        </w:rPr>
      </w:pPr>
    </w:p>
    <w:p w14:paraId="3DF00253" w14:textId="77777777" w:rsidR="003134FF" w:rsidRDefault="003134FF" w:rsidP="003134FF">
      <w:pPr>
        <w:jc w:val="center"/>
        <w:rPr>
          <w:rFonts w:cs="Calibri"/>
          <w:sz w:val="24"/>
          <w:szCs w:val="24"/>
          <w:lang w:val="en-US"/>
        </w:rPr>
      </w:pPr>
      <w:r w:rsidRPr="00F33474">
        <w:rPr>
          <w:rFonts w:cs="Calibri"/>
          <w:sz w:val="24"/>
          <w:szCs w:val="24"/>
          <w:lang w:val="en-US"/>
        </w:rPr>
        <w:t>Summer 2025</w:t>
      </w:r>
    </w:p>
    <w:p w14:paraId="4EEB20EA" w14:textId="3187B51C" w:rsidR="003134FF" w:rsidRPr="00F33474" w:rsidRDefault="004B5966" w:rsidP="004B5966">
      <w:pPr>
        <w:tabs>
          <w:tab w:val="left" w:pos="5389"/>
        </w:tabs>
        <w:rPr>
          <w:rFonts w:cs="Times New Roman"/>
          <w:b/>
          <w:bCs/>
          <w:sz w:val="24"/>
          <w:szCs w:val="24"/>
          <w:lang w:val="en-US"/>
        </w:rPr>
      </w:pPr>
      <w:r>
        <w:rPr>
          <w:rFonts w:cs="Times New Roman"/>
          <w:b/>
          <w:bCs/>
          <w:sz w:val="24"/>
          <w:szCs w:val="24"/>
          <w:lang w:val="en-US"/>
        </w:rPr>
        <w:tab/>
      </w:r>
    </w:p>
    <w:p w14:paraId="208B414D" w14:textId="5B155EEC" w:rsidR="6B458D99" w:rsidRDefault="6B458D99" w:rsidP="6B458D99">
      <w:pPr>
        <w:rPr>
          <w:rFonts w:cs="Times New Roman"/>
          <w:b/>
          <w:bCs/>
          <w:sz w:val="24"/>
          <w:szCs w:val="24"/>
          <w:lang w:val="en-US"/>
        </w:rPr>
      </w:pPr>
    </w:p>
    <w:p w14:paraId="3339AD8B" w14:textId="237FE5B4" w:rsidR="000C6278" w:rsidRPr="00F33474" w:rsidRDefault="00D41D29" w:rsidP="00C577F9">
      <w:pPr>
        <w:jc w:val="center"/>
        <w:rPr>
          <w:rFonts w:cs="Calibri"/>
          <w:b/>
          <w:bCs/>
          <w:sz w:val="24"/>
          <w:szCs w:val="24"/>
          <w:lang w:val="en-US"/>
        </w:rPr>
      </w:pPr>
      <w:r w:rsidRPr="00F33474">
        <w:rPr>
          <w:rFonts w:cs="Calibri"/>
          <w:b/>
          <w:bCs/>
          <w:sz w:val="24"/>
          <w:szCs w:val="24"/>
          <w:lang w:val="en-US"/>
        </w:rPr>
        <w:t>Introduction</w:t>
      </w:r>
    </w:p>
    <w:p w14:paraId="1E4E7F46" w14:textId="44755B79" w:rsidR="00C577F9" w:rsidRPr="00F33474" w:rsidRDefault="001B1045" w:rsidP="00C577F9">
      <w:pPr>
        <w:spacing w:line="240" w:lineRule="auto"/>
        <w:rPr>
          <w:rFonts w:eastAsia="Times New Roman" w:cs="Calibri"/>
          <w:sz w:val="24"/>
          <w:szCs w:val="24"/>
        </w:rPr>
      </w:pPr>
      <w:r w:rsidRPr="00F33474">
        <w:rPr>
          <w:rFonts w:eastAsia="Times New Roman" w:cs="Calibri"/>
          <w:b/>
          <w:bCs/>
          <w:sz w:val="24"/>
          <w:szCs w:val="24"/>
        </w:rPr>
        <w:t>Problem</w:t>
      </w:r>
      <w:r w:rsidR="00C577F9" w:rsidRPr="00F33474">
        <w:rPr>
          <w:rFonts w:eastAsia="Times New Roman" w:cs="Calibri"/>
          <w:b/>
          <w:bCs/>
          <w:sz w:val="24"/>
          <w:szCs w:val="24"/>
        </w:rPr>
        <w:t xml:space="preserve"> </w:t>
      </w:r>
      <w:r w:rsidRPr="00F33474">
        <w:rPr>
          <w:rFonts w:eastAsia="Times New Roman" w:cs="Calibri"/>
          <w:b/>
          <w:bCs/>
          <w:sz w:val="24"/>
          <w:szCs w:val="24"/>
        </w:rPr>
        <w:t xml:space="preserve">Statement </w:t>
      </w:r>
    </w:p>
    <w:p w14:paraId="5872D08A" w14:textId="774F2B02" w:rsidR="003134FF" w:rsidRPr="00F33474" w:rsidRDefault="001B1045" w:rsidP="00C577F9">
      <w:pPr>
        <w:spacing w:line="240" w:lineRule="auto"/>
        <w:jc w:val="both"/>
        <w:rPr>
          <w:rFonts w:eastAsia="Times New Roman" w:cs="Calibri"/>
          <w:sz w:val="24"/>
          <w:szCs w:val="24"/>
        </w:rPr>
      </w:pPr>
      <w:r w:rsidRPr="00F33474">
        <w:rPr>
          <w:rFonts w:eastAsia="Times New Roman" w:cs="Calibri"/>
          <w:sz w:val="24"/>
          <w:szCs w:val="24"/>
        </w:rPr>
        <w:t xml:space="preserve">Science and environmental education in Indigenous territories continue to be limited by two interconnected problems: the historical disconnect between academic research and Indigenous communities, and the persistent exclusion of Indigenous knowledge, values, and territories from school curricula. Research in Indigenous lands has long operated within extractive paradigms that treat communities as data sources rather than co-researchers or decision-makers (Smith, 2012; </w:t>
      </w:r>
      <w:r w:rsidR="00C83A7F" w:rsidRPr="00125A59">
        <w:rPr>
          <w:rFonts w:eastAsia="Times New Roman"/>
          <w:sz w:val="24"/>
          <w:szCs w:val="24"/>
        </w:rPr>
        <w:t>Smith</w:t>
      </w:r>
      <w:r w:rsidR="00C83A7F">
        <w:rPr>
          <w:rFonts w:eastAsia="Times New Roman"/>
          <w:sz w:val="24"/>
          <w:szCs w:val="24"/>
        </w:rPr>
        <w:t xml:space="preserve"> et al., 2023</w:t>
      </w:r>
      <w:r w:rsidRPr="00F33474">
        <w:rPr>
          <w:rFonts w:eastAsia="Times New Roman" w:cs="Calibri"/>
          <w:sz w:val="24"/>
          <w:szCs w:val="24"/>
        </w:rPr>
        <w:t xml:space="preserve">; </w:t>
      </w:r>
      <w:proofErr w:type="spellStart"/>
      <w:r w:rsidRPr="00F33474">
        <w:rPr>
          <w:rFonts w:eastAsia="Times New Roman" w:cs="Calibri"/>
          <w:sz w:val="24"/>
          <w:szCs w:val="24"/>
        </w:rPr>
        <w:t>Haelewaters</w:t>
      </w:r>
      <w:proofErr w:type="spellEnd"/>
      <w:r w:rsidRPr="00F33474">
        <w:rPr>
          <w:rFonts w:eastAsia="Times New Roman" w:cs="Calibri"/>
          <w:sz w:val="24"/>
          <w:szCs w:val="24"/>
        </w:rPr>
        <w:t xml:space="preserve"> et al., 2021), leaving little space for Indigenous participation in defining questions, interpreting results, or guiding how knowledge circulates (Louis, 2007; Simpson, 2014). Even when collaborations are described as participatory, outputs such as biodiversity surveys or TEK documentation often remain disconnected from community priorities and unused in local decision-making or education (</w:t>
      </w:r>
      <w:proofErr w:type="spellStart"/>
      <w:r w:rsidRPr="00F33474">
        <w:rPr>
          <w:rFonts w:eastAsia="Times New Roman" w:cs="Calibri"/>
          <w:sz w:val="24"/>
          <w:szCs w:val="24"/>
        </w:rPr>
        <w:t>Tengö</w:t>
      </w:r>
      <w:proofErr w:type="spellEnd"/>
      <w:r w:rsidRPr="00F33474">
        <w:rPr>
          <w:rFonts w:eastAsia="Times New Roman" w:cs="Calibri"/>
          <w:sz w:val="24"/>
          <w:szCs w:val="24"/>
        </w:rPr>
        <w:t xml:space="preserve"> et al., 2017; McCarter et al., 2014). As a result, these materials seldom reach classrooms, weakening the link between knowledge production, Indigenous self-determination, and youth learning (Aikenhead &amp; Michell, 2011; Bang &amp; Medin, 2010). At the same time, science curricula in many Amazonian schools are adapted from Western frameworks that marginalize Indigenous epistemologies (</w:t>
      </w:r>
      <w:r w:rsidR="00B73961" w:rsidRPr="00B73961">
        <w:rPr>
          <w:rFonts w:eastAsia="Times New Roman"/>
          <w:sz w:val="24"/>
          <w:szCs w:val="24"/>
        </w:rPr>
        <w:t>Wirth, C</w:t>
      </w:r>
      <w:r w:rsidR="00B73961">
        <w:rPr>
          <w:rFonts w:eastAsia="Times New Roman" w:cs="Calibri"/>
          <w:sz w:val="24"/>
          <w:szCs w:val="24"/>
        </w:rPr>
        <w:t xml:space="preserve">, 2020; </w:t>
      </w:r>
      <w:r w:rsidRPr="00F33474">
        <w:rPr>
          <w:rFonts w:eastAsia="Times New Roman" w:cs="Calibri"/>
          <w:sz w:val="24"/>
          <w:szCs w:val="24"/>
        </w:rPr>
        <w:t>Latip et al., 2024), contributing to cultural devaluation and undermining belonging, intergenerational learning, and the development of culturally grounded scientific competencies (Battiste, 2013; Freire, 1970; Cajete, 2020). Despite policy frameworks affirming the importance of Indigenous knowledge, meaningful articulation between community knowledge, formal education, and research remains limited (</w:t>
      </w:r>
      <w:proofErr w:type="spellStart"/>
      <w:r w:rsidRPr="00F33474">
        <w:rPr>
          <w:rFonts w:eastAsia="Times New Roman" w:cs="Calibri"/>
          <w:sz w:val="24"/>
          <w:szCs w:val="24"/>
        </w:rPr>
        <w:t>Nemogá</w:t>
      </w:r>
      <w:proofErr w:type="spellEnd"/>
      <w:r w:rsidRPr="00F33474">
        <w:rPr>
          <w:rFonts w:eastAsia="Times New Roman" w:cs="Calibri"/>
          <w:sz w:val="24"/>
          <w:szCs w:val="24"/>
        </w:rPr>
        <w:t xml:space="preserve"> et al., 202</w:t>
      </w:r>
      <w:r w:rsidR="00DF1EB4">
        <w:rPr>
          <w:rFonts w:eastAsia="Times New Roman" w:cs="Calibri"/>
          <w:sz w:val="24"/>
          <w:szCs w:val="24"/>
        </w:rPr>
        <w:t>2</w:t>
      </w:r>
      <w:r w:rsidRPr="00F33474">
        <w:rPr>
          <w:rFonts w:eastAsia="Times New Roman" w:cs="Calibri"/>
          <w:sz w:val="24"/>
          <w:szCs w:val="24"/>
        </w:rPr>
        <w:t>; Ochoa &amp; Gómez, 2018). This gap underscores the need for approaches that authentically integrate Indigenous knowledge systems into science education and strengthen biocultural conservation.</w:t>
      </w:r>
    </w:p>
    <w:p w14:paraId="7E144E30" w14:textId="77777777" w:rsidR="007B753D" w:rsidRPr="00F33474" w:rsidRDefault="001B1045" w:rsidP="00C577F9">
      <w:pPr>
        <w:spacing w:line="240" w:lineRule="auto"/>
        <w:jc w:val="both"/>
        <w:rPr>
          <w:rFonts w:eastAsia="Times New Roman" w:cs="Calibri"/>
          <w:b/>
          <w:bCs/>
          <w:sz w:val="24"/>
          <w:szCs w:val="24"/>
        </w:rPr>
      </w:pPr>
      <w:r w:rsidRPr="00F33474">
        <w:rPr>
          <w:rFonts w:eastAsia="Times New Roman" w:cs="Calibri"/>
          <w:b/>
          <w:bCs/>
          <w:sz w:val="24"/>
          <w:szCs w:val="24"/>
        </w:rPr>
        <w:t xml:space="preserve">Significance </w:t>
      </w:r>
    </w:p>
    <w:p w14:paraId="1DDB93B6" w14:textId="7C40005A" w:rsidR="00C83A7F" w:rsidRPr="00B37DFE" w:rsidRDefault="001B1045" w:rsidP="00C577F9">
      <w:pPr>
        <w:spacing w:line="240" w:lineRule="auto"/>
        <w:jc w:val="both"/>
        <w:rPr>
          <w:rFonts w:eastAsia="Times New Roman" w:cs="Calibri"/>
          <w:sz w:val="24"/>
          <w:szCs w:val="24"/>
        </w:rPr>
      </w:pPr>
      <w:r w:rsidRPr="00F33474">
        <w:rPr>
          <w:rFonts w:eastAsia="Times New Roman" w:cs="Calibri"/>
          <w:sz w:val="24"/>
          <w:szCs w:val="24"/>
        </w:rPr>
        <w:t xml:space="preserve">Indigenous territories in the Amazon are globally significant because their ecological integrity is sustained through complex knowledge systems that link ecological understanding with cultural values, governance, and long-term stewardship (Varese et al., 2021; Abas et al., 2022). These territories cover more than a quarter of the Amazon biome and are essential for biodiversity conservation, climate regulation, and ecosystem resilience (Science Panel for the Amazon, 2021). For Indigenous peoples, however, these lands are not only ecologically important but also central to identity, well-being, and future self-determination. Scientific frameworks such as </w:t>
      </w:r>
      <w:r w:rsidR="0098384E">
        <w:rPr>
          <w:rFonts w:eastAsia="Times New Roman" w:cs="Calibri"/>
          <w:sz w:val="24"/>
          <w:szCs w:val="24"/>
        </w:rPr>
        <w:t xml:space="preserve">the </w:t>
      </w:r>
      <w:r w:rsidR="00775DB7" w:rsidRPr="00775DB7">
        <w:rPr>
          <w:rFonts w:eastAsia="Times New Roman" w:cs="Calibri"/>
          <w:sz w:val="24"/>
          <w:szCs w:val="24"/>
        </w:rPr>
        <w:t>Intergovernmental Science-Policy Platform on Biodiversity and Ecosystem Services</w:t>
      </w:r>
      <w:r w:rsidR="0098384E">
        <w:rPr>
          <w:rFonts w:eastAsia="Times New Roman" w:cs="Calibri"/>
          <w:sz w:val="24"/>
          <w:szCs w:val="24"/>
        </w:rPr>
        <w:t xml:space="preserve"> (</w:t>
      </w:r>
      <w:r w:rsidR="0098384E" w:rsidRPr="00F33474">
        <w:rPr>
          <w:rFonts w:eastAsia="Times New Roman" w:cs="Calibri"/>
          <w:sz w:val="24"/>
          <w:szCs w:val="24"/>
        </w:rPr>
        <w:t>IPBES</w:t>
      </w:r>
      <w:r w:rsidR="0098384E">
        <w:rPr>
          <w:rFonts w:eastAsia="Times New Roman" w:cs="Calibri"/>
          <w:sz w:val="24"/>
          <w:szCs w:val="24"/>
        </w:rPr>
        <w:t>)</w:t>
      </w:r>
      <w:r w:rsidR="00775DB7" w:rsidRPr="00775DB7">
        <w:rPr>
          <w:rFonts w:eastAsia="Times New Roman" w:cs="Calibri"/>
          <w:sz w:val="24"/>
          <w:szCs w:val="24"/>
        </w:rPr>
        <w:t xml:space="preserve">, </w:t>
      </w:r>
      <w:r w:rsidRPr="00F33474">
        <w:rPr>
          <w:rFonts w:eastAsia="Times New Roman" w:cs="Calibri"/>
          <w:sz w:val="24"/>
          <w:szCs w:val="24"/>
        </w:rPr>
        <w:t xml:space="preserve">emphasize that Indigenous and local knowledge is indispensable for understanding human–nature relationships and guiding sustainable conservation strategies (IPBES, 2019; Athayde et al., 2021). Research shows that when Indigenous knowledge systems and formal education meaningfully complement one another, youth are better prepared to steward their territories and support sustainable development (Hill et al., 2020). Yet few educational models authentically weave Indigenous ecological knowledge, local languages, and culturally grounded science </w:t>
      </w:r>
      <w:r w:rsidRPr="00F33474">
        <w:rPr>
          <w:rFonts w:eastAsia="Times New Roman" w:cs="Calibri"/>
          <w:sz w:val="24"/>
          <w:szCs w:val="24"/>
        </w:rPr>
        <w:lastRenderedPageBreak/>
        <w:t xml:space="preserve">pedagogy. By examining participatory, place-based approaches to science education, this </w:t>
      </w:r>
      <w:r w:rsidR="00DA1518">
        <w:rPr>
          <w:rFonts w:eastAsia="Times New Roman" w:cs="Calibri"/>
          <w:sz w:val="24"/>
          <w:szCs w:val="24"/>
        </w:rPr>
        <w:t xml:space="preserve">practicum and my ongoing study </w:t>
      </w:r>
      <w:r w:rsidRPr="00F33474">
        <w:rPr>
          <w:rFonts w:eastAsia="Times New Roman" w:cs="Calibri"/>
          <w:sz w:val="24"/>
          <w:szCs w:val="24"/>
        </w:rPr>
        <w:t>address a critical gap and contributes to both educational transformation and biocultural conservation.</w:t>
      </w:r>
    </w:p>
    <w:p w14:paraId="0B69925A" w14:textId="57A2B4BB" w:rsidR="001B1045" w:rsidRPr="00F33474" w:rsidRDefault="007B753D" w:rsidP="00C577F9">
      <w:pPr>
        <w:spacing w:line="240" w:lineRule="auto"/>
        <w:jc w:val="both"/>
        <w:rPr>
          <w:rFonts w:eastAsia="Times New Roman" w:cs="Calibri"/>
          <w:b/>
          <w:bCs/>
          <w:sz w:val="24"/>
          <w:szCs w:val="24"/>
          <w:lang w:val="en-US"/>
        </w:rPr>
      </w:pPr>
      <w:r w:rsidRPr="00F33474">
        <w:rPr>
          <w:rFonts w:eastAsia="Times New Roman" w:cs="Calibri"/>
          <w:b/>
          <w:bCs/>
          <w:sz w:val="24"/>
          <w:szCs w:val="24"/>
          <w:lang w:val="en-US"/>
        </w:rPr>
        <w:t xml:space="preserve">Collaborating community </w:t>
      </w:r>
    </w:p>
    <w:p w14:paraId="712BC64C" w14:textId="4070CEA9" w:rsidR="007211E3" w:rsidRDefault="000C6278" w:rsidP="00C577F9">
      <w:pPr>
        <w:spacing w:line="240" w:lineRule="auto"/>
        <w:jc w:val="both"/>
        <w:rPr>
          <w:rFonts w:eastAsia="Times New Roman"/>
          <w:sz w:val="24"/>
          <w:szCs w:val="24"/>
          <w:lang w:val="en-US"/>
        </w:rPr>
      </w:pPr>
      <w:r w:rsidRPr="00F33474">
        <w:rPr>
          <w:rFonts w:eastAsia="Times New Roman"/>
          <w:sz w:val="24"/>
          <w:szCs w:val="24"/>
          <w:lang w:val="en-US"/>
        </w:rPr>
        <w:t xml:space="preserve">In the past 2 years of conducting my research I have collaborated </w:t>
      </w:r>
      <w:r w:rsidR="001D5441">
        <w:rPr>
          <w:rFonts w:eastAsia="Times New Roman"/>
          <w:sz w:val="24"/>
          <w:szCs w:val="24"/>
          <w:lang w:val="en-US"/>
        </w:rPr>
        <w:t xml:space="preserve">with </w:t>
      </w:r>
      <w:r w:rsidRPr="00F33474">
        <w:rPr>
          <w:rFonts w:eastAsia="Times New Roman"/>
          <w:sz w:val="24"/>
          <w:szCs w:val="24"/>
          <w:lang w:val="en-US"/>
        </w:rPr>
        <w:t>AZICATCH, the Indigenous Zonal Association of Traditional Councils and Authorities of La Chorrera, which unites the Uitoto, Bora,</w:t>
      </w:r>
      <w:r w:rsidRPr="00F33474">
        <w:rPr>
          <w:rFonts w:eastAsia="Times New Roman"/>
          <w:i/>
          <w:iCs/>
          <w:sz w:val="24"/>
          <w:szCs w:val="24"/>
          <w:lang w:val="en-US"/>
        </w:rPr>
        <w:t xml:space="preserve"> </w:t>
      </w:r>
      <w:proofErr w:type="spellStart"/>
      <w:r w:rsidRPr="00F33474">
        <w:rPr>
          <w:rFonts w:eastAsia="Times New Roman"/>
          <w:sz w:val="24"/>
          <w:szCs w:val="24"/>
          <w:lang w:val="en-US"/>
        </w:rPr>
        <w:t>Okaina</w:t>
      </w:r>
      <w:proofErr w:type="spellEnd"/>
      <w:r w:rsidRPr="00F33474">
        <w:rPr>
          <w:rFonts w:eastAsia="Times New Roman"/>
          <w:sz w:val="24"/>
          <w:szCs w:val="24"/>
          <w:lang w:val="en-US"/>
        </w:rPr>
        <w:t xml:space="preserve">, and </w:t>
      </w:r>
      <w:proofErr w:type="spellStart"/>
      <w:r w:rsidRPr="00F33474">
        <w:rPr>
          <w:rFonts w:eastAsia="Times New Roman"/>
          <w:sz w:val="24"/>
          <w:szCs w:val="24"/>
          <w:lang w:val="en-US"/>
        </w:rPr>
        <w:t>Muinane</w:t>
      </w:r>
      <w:proofErr w:type="spellEnd"/>
      <w:r w:rsidRPr="00F33474">
        <w:rPr>
          <w:rFonts w:eastAsia="Times New Roman"/>
          <w:sz w:val="24"/>
          <w:szCs w:val="24"/>
          <w:lang w:val="en-US"/>
        </w:rPr>
        <w:t xml:space="preserve"> peoples in the </w:t>
      </w:r>
      <w:proofErr w:type="spellStart"/>
      <w:r w:rsidRPr="00F33474">
        <w:rPr>
          <w:rFonts w:eastAsia="Times New Roman"/>
          <w:sz w:val="24"/>
          <w:szCs w:val="24"/>
          <w:lang w:val="en-US"/>
        </w:rPr>
        <w:t>Predio</w:t>
      </w:r>
      <w:proofErr w:type="spellEnd"/>
      <w:r w:rsidRPr="00F33474">
        <w:rPr>
          <w:rFonts w:eastAsia="Times New Roman"/>
          <w:sz w:val="24"/>
          <w:szCs w:val="24"/>
          <w:lang w:val="en-US"/>
        </w:rPr>
        <w:t xml:space="preserve"> Putumayo</w:t>
      </w:r>
      <w:r w:rsidRPr="00F33474">
        <w:rPr>
          <w:rFonts w:eastAsia="Times New Roman"/>
          <w:i/>
          <w:iCs/>
          <w:sz w:val="24"/>
          <w:szCs w:val="24"/>
          <w:lang w:val="en-US"/>
        </w:rPr>
        <w:t xml:space="preserve"> </w:t>
      </w:r>
      <w:r w:rsidRPr="00F33474">
        <w:rPr>
          <w:rFonts w:eastAsia="Times New Roman"/>
          <w:sz w:val="24"/>
          <w:szCs w:val="24"/>
          <w:lang w:val="en-US"/>
        </w:rPr>
        <w:t>territory, one of the largest Indigenous reserves in the Colombian Amazon. These communities speak four languages with eight variants</w:t>
      </w:r>
      <w:r w:rsidR="0098384E">
        <w:rPr>
          <w:rFonts w:eastAsia="Times New Roman"/>
          <w:sz w:val="24"/>
          <w:szCs w:val="24"/>
          <w:lang w:val="en-US"/>
        </w:rPr>
        <w:t>,</w:t>
      </w:r>
      <w:r w:rsidRPr="00F33474">
        <w:rPr>
          <w:rFonts w:eastAsia="Times New Roman"/>
          <w:sz w:val="24"/>
          <w:szCs w:val="24"/>
          <w:lang w:val="en-US"/>
        </w:rPr>
        <w:t xml:space="preserve"> calling themselves “Sons of Tobacco, Coca, and Sweet Yucca,” sacred plants central to their material and spiritual sustenance. Established in 2004, AZICATCH</w:t>
      </w:r>
      <w:r w:rsidR="00C83A7F">
        <w:rPr>
          <w:rFonts w:eastAsia="Times New Roman"/>
          <w:sz w:val="24"/>
          <w:szCs w:val="24"/>
          <w:lang w:val="en-US"/>
        </w:rPr>
        <w:t>, their Indigenous association,</w:t>
      </w:r>
      <w:r w:rsidRPr="00F33474">
        <w:rPr>
          <w:rFonts w:eastAsia="Times New Roman"/>
          <w:sz w:val="24"/>
          <w:szCs w:val="24"/>
          <w:lang w:val="en-US"/>
        </w:rPr>
        <w:t xml:space="preserve"> has worked to recover traditions and languages lost during the rubber boom era, which devastated their ancestors. </w:t>
      </w:r>
    </w:p>
    <w:p w14:paraId="4898FE3B" w14:textId="299A7ABE" w:rsidR="0098384E" w:rsidRDefault="000C6278" w:rsidP="00C577F9">
      <w:pPr>
        <w:spacing w:line="240" w:lineRule="auto"/>
        <w:jc w:val="both"/>
        <w:rPr>
          <w:rFonts w:eastAsia="Times New Roman"/>
          <w:sz w:val="24"/>
          <w:szCs w:val="24"/>
          <w:lang w:val="en-US"/>
        </w:rPr>
      </w:pPr>
      <w:r w:rsidRPr="00F33474">
        <w:rPr>
          <w:rFonts w:eastAsia="Times New Roman"/>
          <w:sz w:val="24"/>
          <w:szCs w:val="24"/>
          <w:lang w:val="en-US"/>
        </w:rPr>
        <w:t xml:space="preserve">The </w:t>
      </w:r>
      <w:r w:rsidR="007211E3">
        <w:rPr>
          <w:rFonts w:eastAsia="Times New Roman"/>
          <w:sz w:val="24"/>
          <w:szCs w:val="24"/>
          <w:lang w:val="en-US"/>
        </w:rPr>
        <w:t>location of the practicum w</w:t>
      </w:r>
      <w:r w:rsidR="0098384E">
        <w:rPr>
          <w:rFonts w:eastAsia="Times New Roman"/>
          <w:sz w:val="24"/>
          <w:szCs w:val="24"/>
          <w:lang w:val="en-US"/>
        </w:rPr>
        <w:t>as</w:t>
      </w:r>
      <w:r w:rsidRPr="00F33474">
        <w:rPr>
          <w:rFonts w:eastAsia="Times New Roman"/>
          <w:sz w:val="24"/>
          <w:szCs w:val="24"/>
          <w:lang w:val="en-US"/>
        </w:rPr>
        <w:t xml:space="preserve"> the school </w:t>
      </w:r>
      <w:r w:rsidR="001B1045" w:rsidRPr="00F33474">
        <w:rPr>
          <w:rFonts w:eastAsia="Times New Roman"/>
          <w:sz w:val="24"/>
          <w:szCs w:val="24"/>
          <w:lang w:val="en-US"/>
        </w:rPr>
        <w:t>“</w:t>
      </w:r>
      <w:r w:rsidRPr="00F33474">
        <w:rPr>
          <w:rFonts w:eastAsia="Times New Roman"/>
          <w:sz w:val="24"/>
          <w:szCs w:val="24"/>
          <w:lang w:val="en-US"/>
        </w:rPr>
        <w:t xml:space="preserve">Casa del </w:t>
      </w:r>
      <w:proofErr w:type="spellStart"/>
      <w:r w:rsidRPr="00F33474">
        <w:rPr>
          <w:rFonts w:eastAsia="Times New Roman"/>
          <w:sz w:val="24"/>
          <w:szCs w:val="24"/>
          <w:lang w:val="en-US"/>
        </w:rPr>
        <w:t>Conocimiento</w:t>
      </w:r>
      <w:proofErr w:type="spellEnd"/>
      <w:r w:rsidR="001B1045" w:rsidRPr="00F33474">
        <w:rPr>
          <w:rFonts w:eastAsia="Times New Roman"/>
          <w:sz w:val="24"/>
          <w:szCs w:val="24"/>
          <w:lang w:val="en-US"/>
        </w:rPr>
        <w:t>” (School House of Knowledge)</w:t>
      </w:r>
      <w:r w:rsidR="007211E3">
        <w:rPr>
          <w:rFonts w:eastAsia="Times New Roman"/>
          <w:sz w:val="24"/>
          <w:szCs w:val="24"/>
          <w:lang w:val="en-US"/>
        </w:rPr>
        <w:t>,</w:t>
      </w:r>
      <w:r w:rsidR="009D1816">
        <w:rPr>
          <w:rFonts w:eastAsia="Times New Roman"/>
          <w:sz w:val="24"/>
          <w:szCs w:val="24"/>
          <w:lang w:val="en-US"/>
        </w:rPr>
        <w:t xml:space="preserve"> </w:t>
      </w:r>
      <w:r w:rsidRPr="00F33474">
        <w:rPr>
          <w:rFonts w:eastAsia="Times New Roman"/>
          <w:sz w:val="24"/>
          <w:szCs w:val="24"/>
          <w:lang w:val="en-US"/>
        </w:rPr>
        <w:t xml:space="preserve">created in 1994 to support education rooted in their cultural values. </w:t>
      </w:r>
      <w:r w:rsidR="001D5441">
        <w:rPr>
          <w:rFonts w:eastAsia="Times New Roman"/>
          <w:sz w:val="24"/>
          <w:szCs w:val="24"/>
          <w:lang w:val="en-US"/>
        </w:rPr>
        <w:t xml:space="preserve"> </w:t>
      </w:r>
      <w:r w:rsidR="0098384E">
        <w:rPr>
          <w:rFonts w:eastAsia="Times New Roman"/>
          <w:sz w:val="24"/>
          <w:szCs w:val="24"/>
          <w:lang w:val="en-US"/>
        </w:rPr>
        <w:t>The school</w:t>
      </w:r>
      <w:r w:rsidR="001D5441">
        <w:rPr>
          <w:rFonts w:eastAsia="Times New Roman"/>
          <w:sz w:val="24"/>
          <w:szCs w:val="24"/>
          <w:lang w:val="en-US"/>
        </w:rPr>
        <w:t xml:space="preserve"> is c</w:t>
      </w:r>
      <w:r w:rsidRPr="00F33474">
        <w:rPr>
          <w:rFonts w:eastAsia="Times New Roman"/>
          <w:sz w:val="24"/>
          <w:szCs w:val="24"/>
          <w:lang w:val="en-US"/>
        </w:rPr>
        <w:t xml:space="preserve">omposed </w:t>
      </w:r>
      <w:r w:rsidR="001D5441">
        <w:rPr>
          <w:rFonts w:eastAsia="Times New Roman"/>
          <w:sz w:val="24"/>
          <w:szCs w:val="24"/>
          <w:lang w:val="en-US"/>
        </w:rPr>
        <w:t>of</w:t>
      </w:r>
      <w:r w:rsidRPr="00F33474">
        <w:rPr>
          <w:rFonts w:eastAsia="Times New Roman"/>
          <w:sz w:val="24"/>
          <w:szCs w:val="24"/>
          <w:lang w:val="en-US"/>
        </w:rPr>
        <w:t xml:space="preserve"> an elementary</w:t>
      </w:r>
      <w:r w:rsidR="001D5441">
        <w:rPr>
          <w:rFonts w:eastAsia="Times New Roman"/>
          <w:sz w:val="24"/>
          <w:szCs w:val="24"/>
          <w:lang w:val="en-US"/>
        </w:rPr>
        <w:t xml:space="preserve"> </w:t>
      </w:r>
      <w:r w:rsidR="008164BE">
        <w:rPr>
          <w:rFonts w:eastAsia="Times New Roman"/>
          <w:sz w:val="24"/>
          <w:szCs w:val="24"/>
          <w:lang w:val="en-US"/>
        </w:rPr>
        <w:t xml:space="preserve">branch </w:t>
      </w:r>
      <w:r w:rsidR="0072077D">
        <w:rPr>
          <w:rFonts w:eastAsia="Times New Roman"/>
          <w:sz w:val="24"/>
          <w:szCs w:val="24"/>
          <w:lang w:val="en-US"/>
        </w:rPr>
        <w:t xml:space="preserve">for the grades K-5 and an </w:t>
      </w:r>
      <w:r w:rsidRPr="00F33474">
        <w:rPr>
          <w:rFonts w:eastAsia="Times New Roman"/>
          <w:sz w:val="24"/>
          <w:szCs w:val="24"/>
          <w:lang w:val="en-US"/>
        </w:rPr>
        <w:t xml:space="preserve">upper grade </w:t>
      </w:r>
      <w:r w:rsidR="0072077D">
        <w:rPr>
          <w:rFonts w:eastAsia="Times New Roman"/>
          <w:sz w:val="24"/>
          <w:szCs w:val="24"/>
          <w:lang w:val="en-US"/>
        </w:rPr>
        <w:t>branch for the grades 6-11</w:t>
      </w:r>
      <w:r w:rsidR="00087713">
        <w:rPr>
          <w:rFonts w:eastAsia="Times New Roman"/>
          <w:sz w:val="24"/>
          <w:szCs w:val="24"/>
          <w:lang w:val="en-US"/>
        </w:rPr>
        <w:t>, both located in t</w:t>
      </w:r>
      <w:r w:rsidRPr="00F33474">
        <w:rPr>
          <w:rFonts w:eastAsia="Times New Roman"/>
          <w:sz w:val="24"/>
          <w:szCs w:val="24"/>
          <w:lang w:val="en-US"/>
        </w:rPr>
        <w:t xml:space="preserve">he urban center </w:t>
      </w:r>
      <w:r w:rsidR="00087713">
        <w:rPr>
          <w:rFonts w:eastAsia="Times New Roman"/>
          <w:sz w:val="24"/>
          <w:szCs w:val="24"/>
          <w:lang w:val="en-US"/>
        </w:rPr>
        <w:t xml:space="preserve">of La Chorrera. </w:t>
      </w:r>
      <w:r w:rsidR="004F7B16">
        <w:rPr>
          <w:rFonts w:eastAsia="Times New Roman"/>
          <w:sz w:val="24"/>
          <w:szCs w:val="24"/>
          <w:lang w:val="en-US"/>
        </w:rPr>
        <w:t>The</w:t>
      </w:r>
      <w:r w:rsidR="00AA161D">
        <w:rPr>
          <w:rFonts w:eastAsia="Times New Roman"/>
          <w:sz w:val="24"/>
          <w:szCs w:val="24"/>
          <w:lang w:val="en-US"/>
        </w:rPr>
        <w:t xml:space="preserve">se two branches serve 600 students in total. </w:t>
      </w:r>
      <w:r w:rsidR="00465AFE">
        <w:rPr>
          <w:rFonts w:eastAsia="Times New Roman"/>
          <w:sz w:val="24"/>
          <w:szCs w:val="24"/>
          <w:lang w:val="en-US"/>
        </w:rPr>
        <w:t>Six a</w:t>
      </w:r>
      <w:r w:rsidR="00087713">
        <w:rPr>
          <w:rFonts w:eastAsia="Times New Roman"/>
          <w:sz w:val="24"/>
          <w:szCs w:val="24"/>
          <w:lang w:val="en-US"/>
        </w:rPr>
        <w:t>dditional s</w:t>
      </w:r>
      <w:r w:rsidR="00465AFE">
        <w:rPr>
          <w:rFonts w:eastAsia="Times New Roman"/>
          <w:sz w:val="24"/>
          <w:szCs w:val="24"/>
          <w:lang w:val="en-US"/>
        </w:rPr>
        <w:t xml:space="preserve">maller </w:t>
      </w:r>
      <w:r w:rsidR="00EF3869">
        <w:rPr>
          <w:rFonts w:eastAsia="Times New Roman"/>
          <w:sz w:val="24"/>
          <w:szCs w:val="24"/>
          <w:lang w:val="en-US"/>
        </w:rPr>
        <w:t>elementary</w:t>
      </w:r>
      <w:r w:rsidR="008A4303">
        <w:rPr>
          <w:rFonts w:eastAsia="Times New Roman"/>
          <w:sz w:val="24"/>
          <w:szCs w:val="24"/>
          <w:lang w:val="en-US"/>
        </w:rPr>
        <w:t xml:space="preserve"> </w:t>
      </w:r>
      <w:r w:rsidR="0098384E">
        <w:rPr>
          <w:rFonts w:eastAsia="Times New Roman"/>
          <w:sz w:val="24"/>
          <w:szCs w:val="24"/>
          <w:lang w:val="en-US"/>
        </w:rPr>
        <w:t>schools</w:t>
      </w:r>
      <w:r w:rsidR="00465AFE">
        <w:rPr>
          <w:rFonts w:eastAsia="Times New Roman"/>
          <w:sz w:val="24"/>
          <w:szCs w:val="24"/>
          <w:lang w:val="en-US"/>
        </w:rPr>
        <w:t xml:space="preserve"> </w:t>
      </w:r>
      <w:r w:rsidR="0098384E">
        <w:rPr>
          <w:rFonts w:eastAsia="Times New Roman"/>
          <w:sz w:val="24"/>
          <w:szCs w:val="24"/>
          <w:lang w:val="en-US"/>
        </w:rPr>
        <w:t>serve 150 students in total, from</w:t>
      </w:r>
      <w:r w:rsidR="005B69C3">
        <w:rPr>
          <w:rFonts w:eastAsia="Times New Roman"/>
          <w:sz w:val="24"/>
          <w:szCs w:val="24"/>
          <w:lang w:val="en-US"/>
        </w:rPr>
        <w:t xml:space="preserve"> </w:t>
      </w:r>
      <w:r w:rsidR="00A432FF">
        <w:rPr>
          <w:rFonts w:eastAsia="Times New Roman"/>
          <w:sz w:val="24"/>
          <w:szCs w:val="24"/>
          <w:lang w:val="en-US"/>
        </w:rPr>
        <w:t xml:space="preserve">remote </w:t>
      </w:r>
      <w:r w:rsidR="00465AFE">
        <w:rPr>
          <w:rFonts w:eastAsia="Times New Roman"/>
          <w:sz w:val="24"/>
          <w:szCs w:val="24"/>
          <w:lang w:val="en-US"/>
        </w:rPr>
        <w:t xml:space="preserve">communities along the river. </w:t>
      </w:r>
      <w:r w:rsidR="0098384E">
        <w:rPr>
          <w:rFonts w:eastAsia="Times New Roman"/>
          <w:sz w:val="24"/>
          <w:szCs w:val="24"/>
          <w:lang w:val="en-US"/>
        </w:rPr>
        <w:t xml:space="preserve">Students in these schools, grades K-5, study all together with a single teacher in one or two classrooms in a system widely used in Colombia for rural education called multigrade. </w:t>
      </w:r>
    </w:p>
    <w:p w14:paraId="38AEFF4D" w14:textId="28A28B88" w:rsidR="000C6278" w:rsidRDefault="000C6278" w:rsidP="00C577F9">
      <w:pPr>
        <w:spacing w:line="240" w:lineRule="auto"/>
        <w:jc w:val="both"/>
        <w:rPr>
          <w:rFonts w:eastAsia="Times New Roman"/>
          <w:sz w:val="24"/>
          <w:szCs w:val="24"/>
          <w:lang w:val="en-US"/>
        </w:rPr>
      </w:pPr>
      <w:r w:rsidRPr="00F33474">
        <w:rPr>
          <w:rFonts w:eastAsia="Times New Roman"/>
          <w:sz w:val="24"/>
          <w:szCs w:val="24"/>
          <w:lang w:val="en-US"/>
        </w:rPr>
        <w:t>(</w:t>
      </w:r>
      <w:proofErr w:type="spellStart"/>
      <w:r w:rsidRPr="00F33474">
        <w:rPr>
          <w:rFonts w:eastAsia="Times New Roman"/>
          <w:sz w:val="24"/>
          <w:szCs w:val="24"/>
          <w:lang w:val="en-US"/>
        </w:rPr>
        <w:fldChar w:fldCharType="begin"/>
      </w:r>
      <w:r w:rsidRPr="00F33474">
        <w:rPr>
          <w:rFonts w:eastAsia="Times New Roman"/>
          <w:sz w:val="24"/>
          <w:szCs w:val="24"/>
          <w:lang w:val="en-US"/>
        </w:rPr>
        <w:instrText>HYPERLINK "https://www.facebook.com/p/Azicatch-100064874707816/"</w:instrText>
      </w:r>
      <w:r w:rsidRPr="00F33474">
        <w:rPr>
          <w:rFonts w:eastAsia="Times New Roman"/>
          <w:sz w:val="24"/>
          <w:szCs w:val="24"/>
          <w:lang w:val="en-US"/>
        </w:rPr>
      </w:r>
      <w:r w:rsidRPr="00F33474">
        <w:rPr>
          <w:rFonts w:eastAsia="Times New Roman"/>
          <w:sz w:val="24"/>
          <w:szCs w:val="24"/>
          <w:lang w:val="en-US"/>
        </w:rPr>
        <w:fldChar w:fldCharType="separate"/>
      </w:r>
      <w:r w:rsidRPr="00F33474">
        <w:rPr>
          <w:rStyle w:val="Hyperlink"/>
          <w:rFonts w:eastAsia="Times New Roman"/>
          <w:sz w:val="24"/>
          <w:szCs w:val="24"/>
          <w:lang w:val="en-US"/>
        </w:rPr>
        <w:t>Azicatch</w:t>
      </w:r>
      <w:proofErr w:type="spellEnd"/>
      <w:r w:rsidRPr="00F33474">
        <w:rPr>
          <w:rStyle w:val="Hyperlink"/>
          <w:rFonts w:eastAsia="Times New Roman"/>
          <w:sz w:val="24"/>
          <w:szCs w:val="24"/>
          <w:lang w:val="en-US"/>
        </w:rPr>
        <w:t xml:space="preserve"> Facebook website</w:t>
      </w:r>
      <w:r w:rsidRPr="00F33474">
        <w:rPr>
          <w:rFonts w:eastAsia="Times New Roman"/>
          <w:sz w:val="24"/>
          <w:szCs w:val="24"/>
          <w:lang w:val="en-US"/>
        </w:rPr>
        <w:fldChar w:fldCharType="end"/>
      </w:r>
      <w:r w:rsidRPr="00F33474">
        <w:rPr>
          <w:rFonts w:eastAsia="Times New Roman"/>
          <w:sz w:val="24"/>
          <w:szCs w:val="24"/>
          <w:lang w:val="en-US"/>
        </w:rPr>
        <w:t>)</w:t>
      </w:r>
    </w:p>
    <w:p w14:paraId="354055EC" w14:textId="77777777" w:rsidR="00B37DFE" w:rsidRDefault="00B37DFE" w:rsidP="00C577F9">
      <w:pPr>
        <w:spacing w:line="240" w:lineRule="auto"/>
        <w:jc w:val="both"/>
        <w:rPr>
          <w:rFonts w:eastAsia="Times New Roman"/>
          <w:sz w:val="24"/>
          <w:szCs w:val="24"/>
          <w:lang w:val="en-US"/>
        </w:rPr>
      </w:pPr>
    </w:p>
    <w:tbl>
      <w:tblPr>
        <w:tblStyle w:val="TableGrid"/>
        <w:tblW w:w="0" w:type="auto"/>
        <w:tblLook w:val="06A0" w:firstRow="1" w:lastRow="0" w:firstColumn="1" w:lastColumn="0" w:noHBand="1" w:noVBand="1"/>
      </w:tblPr>
      <w:tblGrid>
        <w:gridCol w:w="5436"/>
        <w:gridCol w:w="3904"/>
      </w:tblGrid>
      <w:tr w:rsidR="00B37DFE" w14:paraId="64718481" w14:textId="77777777" w:rsidTr="00C86BFC">
        <w:trPr>
          <w:trHeight w:val="3405"/>
        </w:trPr>
        <w:tc>
          <w:tcPr>
            <w:tcW w:w="4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275241" w14:textId="342F2EA6" w:rsidR="00B37DFE" w:rsidRDefault="007446EF" w:rsidP="00C86BFC">
            <w:pPr>
              <w:spacing w:line="276" w:lineRule="auto"/>
              <w:jc w:val="both"/>
            </w:pPr>
            <w:r>
              <w:rPr>
                <w:noProof/>
              </w:rPr>
              <w:drawing>
                <wp:inline distT="0" distB="0" distL="0" distR="0" wp14:anchorId="6299E389" wp14:editId="56854CAC">
                  <wp:extent cx="3310467" cy="2483911"/>
                  <wp:effectExtent l="0" t="0" r="4445" b="0"/>
                  <wp:docPr id="25599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3766" cy="2486386"/>
                          </a:xfrm>
                          <a:prstGeom prst="rect">
                            <a:avLst/>
                          </a:prstGeom>
                          <a:noFill/>
                          <a:ln>
                            <a:noFill/>
                          </a:ln>
                        </pic:spPr>
                      </pic:pic>
                    </a:graphicData>
                  </a:graphic>
                </wp:inline>
              </w:drawing>
            </w:r>
          </w:p>
        </w:tc>
        <w:tc>
          <w:tcPr>
            <w:tcW w:w="39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8B7FDF" w14:textId="77777777" w:rsidR="00B37DFE" w:rsidRDefault="00B37DFE" w:rsidP="00C86BFC">
            <w:pPr>
              <w:spacing w:line="276" w:lineRule="auto"/>
            </w:pPr>
            <w:r w:rsidRPr="5D226420">
              <w:rPr>
                <w:rFonts w:ascii="Aptos" w:eastAsia="Aptos" w:hAnsi="Aptos" w:cs="Aptos"/>
              </w:rPr>
              <w:t xml:space="preserve"> </w:t>
            </w:r>
          </w:p>
          <w:p w14:paraId="03B57C63" w14:textId="77777777" w:rsidR="00B37DFE" w:rsidRDefault="00B37DFE" w:rsidP="00C86BFC">
            <w:pPr>
              <w:spacing w:line="276" w:lineRule="auto"/>
            </w:pPr>
            <w:r w:rsidRPr="5D226420">
              <w:rPr>
                <w:rFonts w:ascii="Aptos" w:eastAsia="Aptos" w:hAnsi="Aptos" w:cs="Aptos"/>
                <w:sz w:val="16"/>
                <w:szCs w:val="16"/>
              </w:rPr>
              <w:t xml:space="preserve">The AZICATCH Indigenous territory, located along the mid-course of the </w:t>
            </w:r>
            <w:proofErr w:type="spellStart"/>
            <w:r w:rsidRPr="5D226420">
              <w:rPr>
                <w:rFonts w:ascii="Aptos" w:eastAsia="Aptos" w:hAnsi="Aptos" w:cs="Aptos"/>
                <w:sz w:val="16"/>
                <w:szCs w:val="16"/>
              </w:rPr>
              <w:t>Igará</w:t>
            </w:r>
            <w:proofErr w:type="spellEnd"/>
            <w:r w:rsidRPr="5D226420">
              <w:rPr>
                <w:rFonts w:ascii="Aptos" w:eastAsia="Aptos" w:hAnsi="Aptos" w:cs="Aptos"/>
                <w:sz w:val="16"/>
                <w:szCs w:val="16"/>
              </w:rPr>
              <w:t xml:space="preserve">-Paraná River in the Colombian Amazon, spans approximately 1,620,000 hectares, representing 28% of a broader reservation area covering 5,850,000 hectares (AZICATCH, 2022). It forms part of the </w:t>
            </w:r>
            <w:proofErr w:type="spellStart"/>
            <w:r w:rsidRPr="5D226420">
              <w:rPr>
                <w:rFonts w:ascii="Aptos" w:eastAsia="Aptos" w:hAnsi="Aptos" w:cs="Aptos"/>
                <w:sz w:val="16"/>
                <w:szCs w:val="16"/>
              </w:rPr>
              <w:t>Resguardo</w:t>
            </w:r>
            <w:proofErr w:type="spellEnd"/>
            <w:r w:rsidRPr="5D226420">
              <w:rPr>
                <w:rFonts w:ascii="Aptos" w:eastAsia="Aptos" w:hAnsi="Aptos" w:cs="Aptos"/>
                <w:sz w:val="16"/>
                <w:szCs w:val="16"/>
              </w:rPr>
              <w:t xml:space="preserve"> </w:t>
            </w:r>
            <w:proofErr w:type="spellStart"/>
            <w:r w:rsidRPr="5D226420">
              <w:rPr>
                <w:rFonts w:ascii="Aptos" w:eastAsia="Aptos" w:hAnsi="Aptos" w:cs="Aptos"/>
                <w:sz w:val="16"/>
                <w:szCs w:val="16"/>
              </w:rPr>
              <w:t>Predio</w:t>
            </w:r>
            <w:proofErr w:type="spellEnd"/>
            <w:r w:rsidRPr="5D226420">
              <w:rPr>
                <w:rFonts w:ascii="Aptos" w:eastAsia="Aptos" w:hAnsi="Aptos" w:cs="Aptos"/>
                <w:sz w:val="16"/>
                <w:szCs w:val="16"/>
              </w:rPr>
              <w:t xml:space="preserve"> Putumayo, one of the largest multiethnic Indigenous reserves in the country. Indigenous territories collectively cover about 31% of Colombia’s total land area, with the Colombian Amazon accounting for 42% of the nation’s territory. Around 50% of the Colombian Amazon is both Indigenous territory and protected natural area, highlighting the crucial role Indigenous governance plays in conservation.</w:t>
            </w:r>
          </w:p>
        </w:tc>
      </w:tr>
    </w:tbl>
    <w:p w14:paraId="11B4809C" w14:textId="493377BC" w:rsidR="00B37DFE" w:rsidRDefault="00B37DFE" w:rsidP="00B37DFE">
      <w:pPr>
        <w:spacing w:line="276" w:lineRule="auto"/>
        <w:jc w:val="both"/>
      </w:pPr>
      <w:r w:rsidRPr="5D226420">
        <w:rPr>
          <w:rFonts w:ascii="Aptos" w:eastAsia="Aptos" w:hAnsi="Aptos" w:cs="Aptos"/>
          <w:sz w:val="18"/>
          <w:szCs w:val="18"/>
        </w:rPr>
        <w:t>Map 1</w:t>
      </w:r>
      <w:r w:rsidRPr="5D226420">
        <w:rPr>
          <w:rFonts w:ascii="Aptos" w:eastAsia="Aptos" w:hAnsi="Aptos" w:cs="Aptos"/>
          <w:i/>
          <w:iCs/>
          <w:sz w:val="18"/>
          <w:szCs w:val="18"/>
        </w:rPr>
        <w:t>. Map of the AZICATCH Indigenous territory in the Colombian Amazon.</w:t>
      </w:r>
      <w:r w:rsidRPr="5D226420">
        <w:rPr>
          <w:rFonts w:ascii="Aptos" w:eastAsia="Aptos" w:hAnsi="Aptos" w:cs="Aptos"/>
          <w:sz w:val="18"/>
          <w:szCs w:val="18"/>
        </w:rPr>
        <w:t xml:space="preserve"> The territory spans approximately 1,620,000 hectares along the </w:t>
      </w:r>
      <w:proofErr w:type="spellStart"/>
      <w:r w:rsidRPr="5D226420">
        <w:rPr>
          <w:rFonts w:ascii="Aptos" w:eastAsia="Aptos" w:hAnsi="Aptos" w:cs="Aptos"/>
          <w:sz w:val="18"/>
          <w:szCs w:val="18"/>
        </w:rPr>
        <w:t>Igará</w:t>
      </w:r>
      <w:proofErr w:type="spellEnd"/>
      <w:r w:rsidRPr="5D226420">
        <w:rPr>
          <w:rFonts w:ascii="Aptos" w:eastAsia="Aptos" w:hAnsi="Aptos" w:cs="Aptos"/>
          <w:sz w:val="18"/>
          <w:szCs w:val="18"/>
        </w:rPr>
        <w:t xml:space="preserve">-Paraná River and forms part of the </w:t>
      </w:r>
      <w:proofErr w:type="spellStart"/>
      <w:r w:rsidRPr="5D226420">
        <w:rPr>
          <w:rFonts w:ascii="Aptos" w:eastAsia="Aptos" w:hAnsi="Aptos" w:cs="Aptos"/>
          <w:sz w:val="18"/>
          <w:szCs w:val="18"/>
        </w:rPr>
        <w:t>Resguardo</w:t>
      </w:r>
      <w:proofErr w:type="spellEnd"/>
      <w:r w:rsidRPr="5D226420">
        <w:rPr>
          <w:rFonts w:ascii="Aptos" w:eastAsia="Aptos" w:hAnsi="Aptos" w:cs="Aptos"/>
          <w:sz w:val="18"/>
          <w:szCs w:val="18"/>
        </w:rPr>
        <w:t xml:space="preserve"> </w:t>
      </w:r>
      <w:proofErr w:type="spellStart"/>
      <w:r w:rsidRPr="5D226420">
        <w:rPr>
          <w:rFonts w:ascii="Aptos" w:eastAsia="Aptos" w:hAnsi="Aptos" w:cs="Aptos"/>
          <w:sz w:val="18"/>
          <w:szCs w:val="18"/>
        </w:rPr>
        <w:t>Predio</w:t>
      </w:r>
      <w:proofErr w:type="spellEnd"/>
      <w:r w:rsidRPr="5D226420">
        <w:rPr>
          <w:rFonts w:ascii="Aptos" w:eastAsia="Aptos" w:hAnsi="Aptos" w:cs="Aptos"/>
          <w:sz w:val="18"/>
          <w:szCs w:val="18"/>
        </w:rPr>
        <w:t xml:space="preserve"> Putumayo. Data from AZICATCH Environmental Plan Management (2022) and WWF Colombia (2023).</w:t>
      </w:r>
      <w:r w:rsidR="007446EF">
        <w:rPr>
          <w:rFonts w:ascii="Aptos" w:eastAsia="Aptos" w:hAnsi="Aptos" w:cs="Aptos"/>
          <w:sz w:val="18"/>
          <w:szCs w:val="18"/>
        </w:rPr>
        <w:t xml:space="preserve"> Blue dot represents San Jose del Guaviare, and Red dot is La Chorrera. </w:t>
      </w:r>
    </w:p>
    <w:p w14:paraId="5D84AC07" w14:textId="77777777" w:rsidR="00B37DFE" w:rsidRPr="00B37DFE" w:rsidRDefault="00B37DFE" w:rsidP="00C577F9">
      <w:pPr>
        <w:spacing w:line="240" w:lineRule="auto"/>
        <w:jc w:val="both"/>
        <w:rPr>
          <w:rFonts w:eastAsia="Times New Roman"/>
          <w:sz w:val="24"/>
          <w:szCs w:val="24"/>
        </w:rPr>
      </w:pPr>
    </w:p>
    <w:p w14:paraId="380AD4C4" w14:textId="77777777" w:rsidR="00B37DFE" w:rsidRDefault="00B37DFE" w:rsidP="00C577F9">
      <w:pPr>
        <w:spacing w:line="240" w:lineRule="auto"/>
        <w:jc w:val="both"/>
        <w:rPr>
          <w:rFonts w:eastAsia="Times New Roman"/>
          <w:sz w:val="24"/>
          <w:szCs w:val="24"/>
          <w:lang w:val="en-US"/>
        </w:rPr>
      </w:pPr>
    </w:p>
    <w:p w14:paraId="68754573" w14:textId="77777777" w:rsidR="00B37DFE" w:rsidRDefault="00B37DFE" w:rsidP="00C577F9">
      <w:pPr>
        <w:spacing w:line="240" w:lineRule="auto"/>
        <w:jc w:val="both"/>
        <w:rPr>
          <w:rFonts w:eastAsia="Times New Roman"/>
          <w:sz w:val="24"/>
          <w:szCs w:val="24"/>
          <w:lang w:val="en-US"/>
        </w:rPr>
      </w:pPr>
    </w:p>
    <w:p w14:paraId="04BD6D51" w14:textId="77777777" w:rsidR="00B37DFE" w:rsidRDefault="00B37DFE" w:rsidP="00C577F9">
      <w:pPr>
        <w:spacing w:line="240" w:lineRule="auto"/>
        <w:jc w:val="both"/>
        <w:rPr>
          <w:rFonts w:eastAsia="Times New Roman"/>
          <w:sz w:val="24"/>
          <w:szCs w:val="24"/>
          <w:lang w:val="en-US"/>
        </w:rPr>
      </w:pPr>
    </w:p>
    <w:p w14:paraId="085AC086" w14:textId="77777777" w:rsidR="00B37DFE" w:rsidRDefault="00B37DFE" w:rsidP="00C577F9">
      <w:pPr>
        <w:spacing w:line="240" w:lineRule="auto"/>
        <w:jc w:val="both"/>
        <w:rPr>
          <w:rFonts w:eastAsia="Times New Roman"/>
          <w:sz w:val="24"/>
          <w:szCs w:val="24"/>
          <w:lang w:val="en-US"/>
        </w:rPr>
      </w:pPr>
    </w:p>
    <w:p w14:paraId="243EA619" w14:textId="77777777" w:rsidR="00B37DFE" w:rsidRDefault="00B37DFE" w:rsidP="00C577F9">
      <w:pPr>
        <w:spacing w:line="240" w:lineRule="auto"/>
        <w:jc w:val="both"/>
        <w:rPr>
          <w:rFonts w:eastAsia="Times New Roman"/>
          <w:sz w:val="24"/>
          <w:szCs w:val="24"/>
          <w:lang w:val="en-US"/>
        </w:rPr>
      </w:pPr>
    </w:p>
    <w:p w14:paraId="763B00C4" w14:textId="77777777" w:rsidR="00B37DFE" w:rsidRDefault="00B37DFE" w:rsidP="00C577F9">
      <w:pPr>
        <w:spacing w:line="240" w:lineRule="auto"/>
        <w:jc w:val="both"/>
        <w:rPr>
          <w:rFonts w:eastAsia="Times New Roman"/>
          <w:sz w:val="24"/>
          <w:szCs w:val="24"/>
          <w:lang w:val="en-US"/>
        </w:rPr>
      </w:pPr>
    </w:p>
    <w:p w14:paraId="25ABF904" w14:textId="77777777" w:rsidR="00B37DFE" w:rsidRDefault="00B37DFE" w:rsidP="00C577F9">
      <w:pPr>
        <w:spacing w:line="240" w:lineRule="auto"/>
        <w:jc w:val="both"/>
        <w:rPr>
          <w:rFonts w:eastAsia="Times New Roman"/>
          <w:sz w:val="24"/>
          <w:szCs w:val="24"/>
          <w:lang w:val="en-US"/>
        </w:rPr>
      </w:pPr>
    </w:p>
    <w:p w14:paraId="3B50ABD0" w14:textId="77777777" w:rsidR="00B37DFE" w:rsidRDefault="00B37DFE" w:rsidP="00C577F9">
      <w:pPr>
        <w:spacing w:line="240" w:lineRule="auto"/>
        <w:jc w:val="both"/>
        <w:rPr>
          <w:rFonts w:eastAsia="Times New Roman"/>
          <w:sz w:val="24"/>
          <w:szCs w:val="24"/>
          <w:lang w:val="en-US"/>
        </w:rPr>
      </w:pPr>
    </w:p>
    <w:p w14:paraId="37FD3A22" w14:textId="77777777" w:rsidR="00B37DFE" w:rsidRDefault="00B37DFE" w:rsidP="00C577F9">
      <w:pPr>
        <w:spacing w:line="240" w:lineRule="auto"/>
        <w:jc w:val="both"/>
        <w:rPr>
          <w:rFonts w:eastAsia="Times New Roman"/>
          <w:sz w:val="24"/>
          <w:szCs w:val="24"/>
          <w:lang w:val="en-US"/>
        </w:rPr>
      </w:pPr>
    </w:p>
    <w:p w14:paraId="4B2F31B4" w14:textId="77777777" w:rsidR="00B37DFE" w:rsidRDefault="00B37DFE" w:rsidP="00C577F9">
      <w:pPr>
        <w:spacing w:line="240" w:lineRule="auto"/>
        <w:jc w:val="both"/>
        <w:rPr>
          <w:rFonts w:eastAsia="Times New Roman"/>
          <w:sz w:val="24"/>
          <w:szCs w:val="24"/>
          <w:lang w:val="en-US"/>
        </w:rPr>
      </w:pPr>
    </w:p>
    <w:p w14:paraId="51531B02" w14:textId="77777777" w:rsidR="00B37DFE" w:rsidRDefault="00B37DFE" w:rsidP="00C577F9">
      <w:pPr>
        <w:spacing w:line="240" w:lineRule="auto"/>
        <w:jc w:val="both"/>
        <w:rPr>
          <w:rFonts w:eastAsia="Times New Roman"/>
          <w:sz w:val="24"/>
          <w:szCs w:val="24"/>
          <w:lang w:val="en-US"/>
        </w:rPr>
      </w:pPr>
    </w:p>
    <w:p w14:paraId="515786DA" w14:textId="77777777" w:rsidR="007211E3" w:rsidRPr="00F33474" w:rsidRDefault="007211E3" w:rsidP="00C577F9">
      <w:pPr>
        <w:spacing w:line="240" w:lineRule="auto"/>
        <w:jc w:val="both"/>
        <w:rPr>
          <w:rFonts w:eastAsia="Times New Roman"/>
          <w:sz w:val="24"/>
          <w:szCs w:val="24"/>
          <w:lang w:val="en-US"/>
        </w:rPr>
      </w:pPr>
    </w:p>
    <w:p w14:paraId="7EA7F74A" w14:textId="5E1228B0" w:rsidR="00C577F9" w:rsidRPr="00F33474" w:rsidRDefault="00C577F9" w:rsidP="00C577F9">
      <w:pPr>
        <w:spacing w:line="240" w:lineRule="auto"/>
        <w:jc w:val="both"/>
        <w:rPr>
          <w:rFonts w:eastAsia="Times New Roman"/>
          <w:b/>
          <w:bCs/>
          <w:sz w:val="24"/>
          <w:szCs w:val="24"/>
        </w:rPr>
      </w:pPr>
      <w:r w:rsidRPr="00F33474">
        <w:rPr>
          <w:rFonts w:eastAsia="Times New Roman"/>
          <w:b/>
          <w:bCs/>
          <w:sz w:val="24"/>
          <w:szCs w:val="24"/>
        </w:rPr>
        <w:t xml:space="preserve">Knowledge Exchange with </w:t>
      </w:r>
      <w:proofErr w:type="spellStart"/>
      <w:r w:rsidRPr="00F33474">
        <w:rPr>
          <w:rFonts w:eastAsia="Times New Roman"/>
          <w:b/>
          <w:bCs/>
          <w:sz w:val="24"/>
          <w:szCs w:val="24"/>
        </w:rPr>
        <w:t>Yauda</w:t>
      </w:r>
      <w:proofErr w:type="spellEnd"/>
      <w:r w:rsidR="00E82BC6">
        <w:rPr>
          <w:rFonts w:eastAsia="Times New Roman"/>
          <w:b/>
          <w:bCs/>
          <w:sz w:val="24"/>
          <w:szCs w:val="24"/>
        </w:rPr>
        <w:t xml:space="preserve"> Foundation</w:t>
      </w:r>
      <w:r w:rsidRPr="00F33474">
        <w:rPr>
          <w:rFonts w:eastAsia="Times New Roman"/>
          <w:b/>
          <w:bCs/>
          <w:sz w:val="24"/>
          <w:szCs w:val="24"/>
        </w:rPr>
        <w:t xml:space="preserve"> and Amazonian Research Networks</w:t>
      </w:r>
    </w:p>
    <w:p w14:paraId="04225C4C" w14:textId="77777777" w:rsidR="00831B84" w:rsidRDefault="00FB4377" w:rsidP="00C577F9">
      <w:pPr>
        <w:spacing w:line="240" w:lineRule="auto"/>
        <w:jc w:val="both"/>
        <w:rPr>
          <w:rFonts w:eastAsia="Times New Roman"/>
          <w:sz w:val="24"/>
          <w:szCs w:val="24"/>
          <w:lang w:val="en-US"/>
        </w:rPr>
      </w:pPr>
      <w:r>
        <w:rPr>
          <w:rFonts w:eastAsia="Times New Roman"/>
          <w:sz w:val="24"/>
          <w:szCs w:val="24"/>
          <w:lang w:val="en-US"/>
        </w:rPr>
        <w:t xml:space="preserve">With the aim of supporting the </w:t>
      </w:r>
      <w:r w:rsidR="0098384E">
        <w:rPr>
          <w:rFonts w:eastAsia="Times New Roman"/>
          <w:sz w:val="24"/>
          <w:szCs w:val="24"/>
          <w:lang w:val="en-US"/>
        </w:rPr>
        <w:t>teacher’s</w:t>
      </w:r>
      <w:r>
        <w:rPr>
          <w:rFonts w:eastAsia="Times New Roman"/>
          <w:sz w:val="24"/>
          <w:szCs w:val="24"/>
          <w:lang w:val="en-US"/>
        </w:rPr>
        <w:t xml:space="preserve"> interest in learning how to integrate learning activities</w:t>
      </w:r>
      <w:r w:rsidR="008F1179">
        <w:rPr>
          <w:rFonts w:eastAsia="Times New Roman"/>
          <w:sz w:val="24"/>
          <w:szCs w:val="24"/>
          <w:lang w:val="en-US"/>
        </w:rPr>
        <w:t xml:space="preserve"> </w:t>
      </w:r>
      <w:r w:rsidR="0098384E">
        <w:rPr>
          <w:rFonts w:eastAsia="Times New Roman"/>
          <w:sz w:val="24"/>
          <w:szCs w:val="24"/>
          <w:lang w:val="en-US"/>
        </w:rPr>
        <w:t>for</w:t>
      </w:r>
      <w:r w:rsidR="008F1179">
        <w:rPr>
          <w:rFonts w:eastAsia="Times New Roman"/>
          <w:sz w:val="24"/>
          <w:szCs w:val="24"/>
          <w:lang w:val="en-US"/>
        </w:rPr>
        <w:t xml:space="preserve"> indigenous languages</w:t>
      </w:r>
      <w:r w:rsidR="00831B84">
        <w:rPr>
          <w:rFonts w:eastAsia="Times New Roman"/>
          <w:sz w:val="24"/>
          <w:szCs w:val="24"/>
          <w:lang w:val="en-US"/>
        </w:rPr>
        <w:t xml:space="preserve"> and Artificial Intelligence strategies in education</w:t>
      </w:r>
      <w:r w:rsidR="008F1179">
        <w:rPr>
          <w:rFonts w:eastAsia="Times New Roman"/>
          <w:sz w:val="24"/>
          <w:szCs w:val="24"/>
          <w:lang w:val="en-US"/>
        </w:rPr>
        <w:t xml:space="preserve">, </w:t>
      </w:r>
      <w:r w:rsidR="00C36CCF">
        <w:rPr>
          <w:rFonts w:eastAsia="Times New Roman"/>
          <w:sz w:val="24"/>
          <w:szCs w:val="24"/>
          <w:lang w:val="en-US"/>
        </w:rPr>
        <w:t>I invited</w:t>
      </w:r>
      <w:r w:rsidR="00831B84">
        <w:rPr>
          <w:rFonts w:eastAsia="Times New Roman"/>
          <w:sz w:val="24"/>
          <w:szCs w:val="24"/>
          <w:lang w:val="en-US"/>
        </w:rPr>
        <w:t xml:space="preserve"> Nicolas,</w:t>
      </w:r>
      <w:r w:rsidR="00C577F9" w:rsidRPr="00C577F9">
        <w:rPr>
          <w:rFonts w:eastAsia="Times New Roman"/>
          <w:sz w:val="24"/>
          <w:szCs w:val="24"/>
          <w:lang w:val="en-US"/>
        </w:rPr>
        <w:t xml:space="preserve"> a linguistics student</w:t>
      </w:r>
      <w:r w:rsidR="00831B84">
        <w:rPr>
          <w:rFonts w:eastAsia="Times New Roman"/>
          <w:sz w:val="24"/>
          <w:szCs w:val="24"/>
          <w:lang w:val="en-US"/>
        </w:rPr>
        <w:t>,</w:t>
      </w:r>
      <w:r w:rsidR="00C577F9" w:rsidRPr="00C577F9">
        <w:rPr>
          <w:rFonts w:eastAsia="Times New Roman"/>
          <w:sz w:val="24"/>
          <w:szCs w:val="24"/>
          <w:lang w:val="en-US"/>
        </w:rPr>
        <w:t xml:space="preserve"> member of the </w:t>
      </w:r>
      <w:proofErr w:type="spellStart"/>
      <w:r w:rsidR="00C577F9" w:rsidRPr="00C577F9">
        <w:rPr>
          <w:rFonts w:eastAsia="Times New Roman"/>
          <w:sz w:val="24"/>
          <w:szCs w:val="24"/>
          <w:lang w:val="en-US"/>
        </w:rPr>
        <w:t>Yauda</w:t>
      </w:r>
      <w:proofErr w:type="spellEnd"/>
      <w:r w:rsidR="00C577F9" w:rsidRPr="00C577F9">
        <w:rPr>
          <w:rFonts w:eastAsia="Times New Roman"/>
          <w:sz w:val="24"/>
          <w:szCs w:val="24"/>
          <w:lang w:val="en-US"/>
        </w:rPr>
        <w:t xml:space="preserve"> </w:t>
      </w:r>
      <w:r w:rsidR="006C2270">
        <w:rPr>
          <w:rFonts w:eastAsia="Times New Roman"/>
          <w:sz w:val="24"/>
          <w:szCs w:val="24"/>
          <w:lang w:val="en-US"/>
        </w:rPr>
        <w:t xml:space="preserve">Foundation </w:t>
      </w:r>
      <w:r w:rsidR="00C577F9" w:rsidRPr="00C577F9">
        <w:rPr>
          <w:rFonts w:eastAsia="Times New Roman"/>
          <w:sz w:val="24"/>
          <w:szCs w:val="24"/>
          <w:lang w:val="en-US"/>
        </w:rPr>
        <w:t>student collective</w:t>
      </w:r>
      <w:r w:rsidR="008F016C">
        <w:rPr>
          <w:rFonts w:eastAsia="Times New Roman"/>
          <w:sz w:val="24"/>
          <w:szCs w:val="24"/>
          <w:lang w:val="en-US"/>
        </w:rPr>
        <w:t xml:space="preserve"> at the Universidad Nacional de Colombia. </w:t>
      </w:r>
      <w:r w:rsidR="00C577F9" w:rsidRPr="00C577F9">
        <w:rPr>
          <w:rFonts w:eastAsia="Times New Roman"/>
          <w:sz w:val="24"/>
          <w:szCs w:val="24"/>
          <w:lang w:val="en-US"/>
        </w:rPr>
        <w:t xml:space="preserve"> </w:t>
      </w:r>
    </w:p>
    <w:p w14:paraId="49D342A6" w14:textId="77777777" w:rsidR="00831B84" w:rsidRDefault="00831B84" w:rsidP="00831B84">
      <w:pPr>
        <w:spacing w:line="240" w:lineRule="auto"/>
        <w:jc w:val="both"/>
        <w:rPr>
          <w:rFonts w:eastAsia="Times New Roman"/>
          <w:sz w:val="24"/>
          <w:szCs w:val="24"/>
          <w:lang w:val="en-US"/>
        </w:rPr>
      </w:pPr>
      <w:r w:rsidRPr="00C577F9">
        <w:rPr>
          <w:rFonts w:eastAsia="Times New Roman"/>
          <w:sz w:val="24"/>
          <w:szCs w:val="24"/>
          <w:lang w:val="en-US"/>
        </w:rPr>
        <w:t>The Colomb</w:t>
      </w:r>
      <w:r>
        <w:rPr>
          <w:rFonts w:eastAsia="Times New Roman"/>
          <w:sz w:val="24"/>
          <w:szCs w:val="24"/>
          <w:lang w:val="en-US"/>
        </w:rPr>
        <w:t>ian</w:t>
      </w:r>
      <w:r w:rsidRPr="00C577F9">
        <w:rPr>
          <w:rFonts w:eastAsia="Times New Roman"/>
          <w:sz w:val="24"/>
          <w:szCs w:val="24"/>
          <w:lang w:val="en-US"/>
        </w:rPr>
        <w:t xml:space="preserve"> </w:t>
      </w:r>
      <w:r>
        <w:rPr>
          <w:rFonts w:eastAsia="Times New Roman"/>
          <w:sz w:val="24"/>
          <w:szCs w:val="24"/>
          <w:lang w:val="en-US"/>
        </w:rPr>
        <w:t xml:space="preserve">Foundation </w:t>
      </w:r>
      <w:proofErr w:type="spellStart"/>
      <w:r w:rsidRPr="00C577F9">
        <w:rPr>
          <w:rFonts w:eastAsia="Times New Roman"/>
          <w:sz w:val="24"/>
          <w:szCs w:val="24"/>
          <w:lang w:val="en-US"/>
        </w:rPr>
        <w:t>Yauda</w:t>
      </w:r>
      <w:proofErr w:type="spellEnd"/>
      <w:r>
        <w:rPr>
          <w:rFonts w:eastAsia="Times New Roman"/>
          <w:sz w:val="24"/>
          <w:szCs w:val="24"/>
          <w:lang w:val="en-US"/>
        </w:rPr>
        <w:t xml:space="preserve">, is an NGO </w:t>
      </w:r>
      <w:r w:rsidRPr="00C577F9">
        <w:rPr>
          <w:rFonts w:eastAsia="Times New Roman"/>
          <w:sz w:val="24"/>
          <w:szCs w:val="24"/>
          <w:lang w:val="en-US"/>
        </w:rPr>
        <w:t xml:space="preserve">founded by young researchers dedicated to </w:t>
      </w:r>
      <w:r>
        <w:rPr>
          <w:rFonts w:eastAsia="Times New Roman"/>
          <w:sz w:val="24"/>
          <w:szCs w:val="24"/>
          <w:lang w:val="en-US"/>
        </w:rPr>
        <w:t xml:space="preserve">support Indigenous youth in the Amazon. These researchers work in the linguistics and anthropology fields in different parts of the Colombian Amazon. As part of the preparation for the Practicum, Nicolas and I </w:t>
      </w:r>
      <w:r w:rsidRPr="00C577F9">
        <w:rPr>
          <w:rFonts w:eastAsia="Times New Roman"/>
          <w:sz w:val="24"/>
          <w:szCs w:val="24"/>
          <w:lang w:val="en-US"/>
        </w:rPr>
        <w:t xml:space="preserve">met with </w:t>
      </w:r>
      <w:r>
        <w:rPr>
          <w:rFonts w:eastAsia="Times New Roman"/>
          <w:sz w:val="24"/>
          <w:szCs w:val="24"/>
          <w:lang w:val="en-US"/>
        </w:rPr>
        <w:t xml:space="preserve">other members of </w:t>
      </w:r>
      <w:proofErr w:type="spellStart"/>
      <w:r>
        <w:rPr>
          <w:rFonts w:eastAsia="Times New Roman"/>
          <w:sz w:val="24"/>
          <w:szCs w:val="24"/>
          <w:lang w:val="en-US"/>
        </w:rPr>
        <w:t>Yauda</w:t>
      </w:r>
      <w:proofErr w:type="spellEnd"/>
      <w:r>
        <w:rPr>
          <w:rFonts w:eastAsia="Times New Roman"/>
          <w:sz w:val="24"/>
          <w:szCs w:val="24"/>
          <w:lang w:val="en-US"/>
        </w:rPr>
        <w:t xml:space="preserve"> to learn about their experiences. Our travel to La Chorrera in the Amazon from Bogotá, the capital city in Colombia, required the stop in the city San José del Guaviare, located at the North of the Amazon in Colombia. This place is considered the door to the Amazon as it is connected by road to the Andes allowing commerce and cultural exchange. The </w:t>
      </w:r>
      <w:proofErr w:type="spellStart"/>
      <w:r>
        <w:rPr>
          <w:rFonts w:eastAsia="Times New Roman"/>
          <w:sz w:val="24"/>
          <w:szCs w:val="24"/>
          <w:lang w:val="en-US"/>
        </w:rPr>
        <w:t>Yauda</w:t>
      </w:r>
      <w:proofErr w:type="spellEnd"/>
      <w:r>
        <w:rPr>
          <w:rFonts w:eastAsia="Times New Roman"/>
          <w:sz w:val="24"/>
          <w:szCs w:val="24"/>
          <w:lang w:val="en-US"/>
        </w:rPr>
        <w:t xml:space="preserve"> members living in this city work with youth from the nomad groups who face forced displacement and health, mental and social risk conditions for surviving in urban centers such as San Jose. </w:t>
      </w:r>
    </w:p>
    <w:p w14:paraId="49BB96A9" w14:textId="6358CFC6" w:rsidR="00831B84" w:rsidRDefault="00831B84" w:rsidP="00C577F9">
      <w:pPr>
        <w:spacing w:line="240" w:lineRule="auto"/>
        <w:jc w:val="both"/>
        <w:rPr>
          <w:rFonts w:eastAsia="Times New Roman"/>
          <w:sz w:val="24"/>
          <w:szCs w:val="24"/>
          <w:lang w:val="en-US"/>
        </w:rPr>
      </w:pPr>
      <w:r w:rsidRPr="00C577F9">
        <w:rPr>
          <w:rFonts w:eastAsia="Times New Roman"/>
          <w:sz w:val="24"/>
          <w:szCs w:val="24"/>
          <w:lang w:val="en-US"/>
        </w:rPr>
        <w:t>This encounter created an important space for knowledge exchange, where each participant shared experiences working with Indigenous peoples and the evolving social challenges affecting Indigenous youth. Their extensive expertise</w:t>
      </w:r>
      <w:r w:rsidRPr="00F33474">
        <w:rPr>
          <w:rFonts w:eastAsia="Times New Roman"/>
          <w:sz w:val="24"/>
          <w:szCs w:val="24"/>
          <w:lang w:val="en-US"/>
        </w:rPr>
        <w:t>,</w:t>
      </w:r>
      <w:r>
        <w:rPr>
          <w:rFonts w:eastAsia="Times New Roman"/>
          <w:sz w:val="24"/>
          <w:szCs w:val="24"/>
          <w:lang w:val="en-US"/>
        </w:rPr>
        <w:t xml:space="preserve"> </w:t>
      </w:r>
      <w:r w:rsidRPr="00C577F9">
        <w:rPr>
          <w:rFonts w:eastAsia="Times New Roman"/>
          <w:sz w:val="24"/>
          <w:szCs w:val="24"/>
          <w:lang w:val="en-US"/>
        </w:rPr>
        <w:t>particularly in understanding youth aspirations, intergenerational dynamics, and ongoing social transformations</w:t>
      </w:r>
      <w:r w:rsidRPr="00F33474">
        <w:rPr>
          <w:rFonts w:eastAsia="Times New Roman"/>
          <w:sz w:val="24"/>
          <w:szCs w:val="24"/>
          <w:lang w:val="en-US"/>
        </w:rPr>
        <w:t xml:space="preserve">, </w:t>
      </w:r>
      <w:r w:rsidRPr="00C577F9">
        <w:rPr>
          <w:rFonts w:eastAsia="Times New Roman"/>
          <w:sz w:val="24"/>
          <w:szCs w:val="24"/>
          <w:lang w:val="en-US"/>
        </w:rPr>
        <w:t>greatly enriched</w:t>
      </w:r>
      <w:r>
        <w:rPr>
          <w:rFonts w:eastAsia="Times New Roman"/>
          <w:sz w:val="24"/>
          <w:szCs w:val="24"/>
          <w:lang w:val="en-US"/>
        </w:rPr>
        <w:t xml:space="preserve"> our </w:t>
      </w:r>
      <w:r w:rsidRPr="00C577F9">
        <w:rPr>
          <w:rFonts w:eastAsia="Times New Roman"/>
          <w:sz w:val="24"/>
          <w:szCs w:val="24"/>
          <w:lang w:val="en-US"/>
        </w:rPr>
        <w:t>preparation for fieldwork. They also provided practical tools for engaging respectfully with traditional knowledge and for supporting teachers as collaborators and co-researchers in the project.</w:t>
      </w:r>
    </w:p>
    <w:p w14:paraId="559843A9" w14:textId="173CFC78" w:rsidR="00E82BC6" w:rsidRDefault="008F016C" w:rsidP="00C577F9">
      <w:pPr>
        <w:spacing w:line="240" w:lineRule="auto"/>
        <w:jc w:val="both"/>
        <w:rPr>
          <w:rFonts w:eastAsia="Times New Roman"/>
          <w:sz w:val="24"/>
          <w:szCs w:val="24"/>
          <w:lang w:val="en-US"/>
        </w:rPr>
      </w:pPr>
      <w:r>
        <w:rPr>
          <w:rFonts w:eastAsia="Times New Roman"/>
          <w:sz w:val="24"/>
          <w:szCs w:val="24"/>
          <w:lang w:val="en-US"/>
        </w:rPr>
        <w:lastRenderedPageBreak/>
        <w:t>His</w:t>
      </w:r>
      <w:r w:rsidR="00C577F9" w:rsidRPr="00C577F9">
        <w:rPr>
          <w:rFonts w:eastAsia="Times New Roman"/>
          <w:sz w:val="24"/>
          <w:szCs w:val="24"/>
          <w:lang w:val="en-US"/>
        </w:rPr>
        <w:t xml:space="preserve"> participation focused on sharing</w:t>
      </w:r>
      <w:r w:rsidR="00E82BC6">
        <w:rPr>
          <w:rFonts w:eastAsia="Times New Roman"/>
          <w:sz w:val="24"/>
          <w:szCs w:val="24"/>
          <w:lang w:val="en-US"/>
        </w:rPr>
        <w:t xml:space="preserve"> with teachers and the community in La Chorrera, about</w:t>
      </w:r>
      <w:r w:rsidR="00C577F9" w:rsidRPr="00C577F9">
        <w:rPr>
          <w:rFonts w:eastAsia="Times New Roman"/>
          <w:sz w:val="24"/>
          <w:szCs w:val="24"/>
          <w:lang w:val="en-US"/>
        </w:rPr>
        <w:t xml:space="preserve"> his experience conducting linguistic and cultural revitalization projects with youth and teachers</w:t>
      </w:r>
      <w:r w:rsidR="00E82BC6">
        <w:rPr>
          <w:rFonts w:eastAsia="Times New Roman"/>
          <w:sz w:val="24"/>
          <w:szCs w:val="24"/>
          <w:lang w:val="en-US"/>
        </w:rPr>
        <w:t xml:space="preserve"> </w:t>
      </w:r>
      <w:r w:rsidR="00E82BC6" w:rsidRPr="00C577F9">
        <w:rPr>
          <w:rFonts w:eastAsia="Times New Roman"/>
          <w:sz w:val="24"/>
          <w:szCs w:val="24"/>
          <w:lang w:val="en-US"/>
        </w:rPr>
        <w:t xml:space="preserve">alongside Uitoto communities near </w:t>
      </w:r>
      <w:proofErr w:type="spellStart"/>
      <w:r w:rsidR="00E82BC6" w:rsidRPr="00C577F9">
        <w:rPr>
          <w:rFonts w:eastAsia="Times New Roman"/>
          <w:sz w:val="24"/>
          <w:szCs w:val="24"/>
          <w:lang w:val="en-US"/>
        </w:rPr>
        <w:t>Leguízamo</w:t>
      </w:r>
      <w:proofErr w:type="spellEnd"/>
      <w:r w:rsidR="00E82BC6">
        <w:rPr>
          <w:rFonts w:eastAsia="Times New Roman"/>
          <w:sz w:val="24"/>
          <w:szCs w:val="24"/>
          <w:lang w:val="en-US"/>
        </w:rPr>
        <w:t xml:space="preserve">, a settlement in the Western Amazon. </w:t>
      </w:r>
      <w:r w:rsidR="004B5966">
        <w:rPr>
          <w:rFonts w:eastAsia="Times New Roman"/>
          <w:sz w:val="24"/>
          <w:szCs w:val="24"/>
          <w:lang w:val="en-US"/>
        </w:rPr>
        <w:t>He shared his strategies to engage youth in finding new ways for cultural expression</w:t>
      </w:r>
      <w:r w:rsidR="00C577F9" w:rsidRPr="00C577F9">
        <w:rPr>
          <w:rFonts w:eastAsia="Times New Roman"/>
          <w:sz w:val="24"/>
          <w:szCs w:val="24"/>
          <w:lang w:val="en-US"/>
        </w:rPr>
        <w:t xml:space="preserve"> us</w:t>
      </w:r>
      <w:r w:rsidR="004B5966">
        <w:rPr>
          <w:rFonts w:eastAsia="Times New Roman"/>
          <w:sz w:val="24"/>
          <w:szCs w:val="24"/>
          <w:lang w:val="en-US"/>
        </w:rPr>
        <w:t>ing</w:t>
      </w:r>
      <w:r w:rsidR="00C577F9" w:rsidRPr="00C577F9">
        <w:rPr>
          <w:rFonts w:eastAsia="Times New Roman"/>
          <w:sz w:val="24"/>
          <w:szCs w:val="24"/>
          <w:lang w:val="en-US"/>
        </w:rPr>
        <w:t xml:space="preserve"> </w:t>
      </w:r>
      <w:r w:rsidR="004B5966">
        <w:rPr>
          <w:rFonts w:eastAsia="Times New Roman"/>
          <w:sz w:val="24"/>
          <w:szCs w:val="24"/>
          <w:lang w:val="en-US"/>
        </w:rPr>
        <w:t>digital</w:t>
      </w:r>
      <w:r w:rsidR="00C577F9" w:rsidRPr="00C577F9">
        <w:rPr>
          <w:rFonts w:eastAsia="Times New Roman"/>
          <w:sz w:val="24"/>
          <w:szCs w:val="24"/>
          <w:lang w:val="en-US"/>
        </w:rPr>
        <w:t xml:space="preserve"> media</w:t>
      </w:r>
      <w:r w:rsidR="00E82BC6">
        <w:rPr>
          <w:rFonts w:eastAsia="Times New Roman"/>
          <w:sz w:val="24"/>
          <w:szCs w:val="24"/>
          <w:lang w:val="en-US"/>
        </w:rPr>
        <w:t xml:space="preserve"> and re-thinking education</w:t>
      </w:r>
      <w:r w:rsidR="00643192">
        <w:rPr>
          <w:rFonts w:eastAsia="Times New Roman"/>
          <w:sz w:val="24"/>
          <w:szCs w:val="24"/>
          <w:lang w:val="en-US"/>
        </w:rPr>
        <w:t xml:space="preserve">. </w:t>
      </w:r>
      <w:r w:rsidR="00E82BC6">
        <w:rPr>
          <w:rFonts w:eastAsia="Times New Roman"/>
          <w:sz w:val="24"/>
          <w:szCs w:val="24"/>
          <w:lang w:val="en-US"/>
        </w:rPr>
        <w:t>T</w:t>
      </w:r>
      <w:r w:rsidR="00831B84">
        <w:rPr>
          <w:rFonts w:eastAsia="Times New Roman"/>
          <w:sz w:val="24"/>
          <w:szCs w:val="24"/>
          <w:lang w:val="en-US"/>
        </w:rPr>
        <w:t>h</w:t>
      </w:r>
      <w:r w:rsidR="00E82BC6">
        <w:rPr>
          <w:rFonts w:eastAsia="Times New Roman"/>
          <w:sz w:val="24"/>
          <w:szCs w:val="24"/>
          <w:lang w:val="en-US"/>
        </w:rPr>
        <w:t xml:space="preserve">rough his stay in La Chorrera, he shared with the </w:t>
      </w:r>
      <w:r w:rsidR="00831B84">
        <w:rPr>
          <w:rFonts w:eastAsia="Times New Roman"/>
          <w:sz w:val="24"/>
          <w:szCs w:val="24"/>
          <w:lang w:val="en-US"/>
        </w:rPr>
        <w:t xml:space="preserve">local </w:t>
      </w:r>
      <w:r w:rsidR="00E82BC6">
        <w:rPr>
          <w:rFonts w:eastAsia="Times New Roman"/>
          <w:sz w:val="24"/>
          <w:szCs w:val="24"/>
          <w:lang w:val="en-US"/>
        </w:rPr>
        <w:t>community about his</w:t>
      </w:r>
      <w:r w:rsidR="00831B84">
        <w:rPr>
          <w:rFonts w:eastAsia="Times New Roman"/>
          <w:sz w:val="24"/>
          <w:szCs w:val="24"/>
          <w:lang w:val="en-US"/>
        </w:rPr>
        <w:t xml:space="preserve"> experience learning the Uitoto language variants in that region.</w:t>
      </w:r>
    </w:p>
    <w:p w14:paraId="2C84EC5D" w14:textId="415D33FA" w:rsidR="000C6278" w:rsidRPr="00F33474" w:rsidRDefault="000C6278" w:rsidP="000C6278">
      <w:pPr>
        <w:spacing w:line="240" w:lineRule="auto"/>
        <w:rPr>
          <w:rFonts w:eastAsia="Times New Roman"/>
          <w:sz w:val="24"/>
          <w:szCs w:val="24"/>
          <w:lang w:val="en-US"/>
        </w:rPr>
      </w:pPr>
      <w:r w:rsidRPr="00F33474">
        <w:rPr>
          <w:rFonts w:eastAsia="Times New Roman"/>
          <w:sz w:val="24"/>
          <w:szCs w:val="24"/>
          <w:lang w:val="en-US"/>
        </w:rPr>
        <w:t>(</w:t>
      </w:r>
      <w:proofErr w:type="spellStart"/>
      <w:r w:rsidRPr="00F33474">
        <w:rPr>
          <w:rFonts w:eastAsia="Times New Roman"/>
          <w:sz w:val="24"/>
          <w:szCs w:val="24"/>
          <w:lang w:val="en-US"/>
        </w:rPr>
        <w:fldChar w:fldCharType="begin"/>
      </w:r>
      <w:r w:rsidRPr="00F33474">
        <w:rPr>
          <w:rFonts w:eastAsia="Times New Roman"/>
          <w:sz w:val="24"/>
          <w:szCs w:val="24"/>
          <w:lang w:val="en-US"/>
        </w:rPr>
        <w:instrText>HYPERLINK "https://yauda.org/"</w:instrText>
      </w:r>
      <w:r w:rsidRPr="00F33474">
        <w:rPr>
          <w:rFonts w:eastAsia="Times New Roman"/>
          <w:sz w:val="24"/>
          <w:szCs w:val="24"/>
          <w:lang w:val="en-US"/>
        </w:rPr>
      </w:r>
      <w:r w:rsidRPr="00F33474">
        <w:rPr>
          <w:rFonts w:eastAsia="Times New Roman"/>
          <w:sz w:val="24"/>
          <w:szCs w:val="24"/>
          <w:lang w:val="en-US"/>
        </w:rPr>
        <w:fldChar w:fldCharType="separate"/>
      </w:r>
      <w:r w:rsidRPr="00F33474">
        <w:rPr>
          <w:rStyle w:val="Hyperlink"/>
          <w:rFonts w:eastAsia="Times New Roman"/>
          <w:sz w:val="24"/>
          <w:szCs w:val="24"/>
          <w:lang w:val="en-US"/>
        </w:rPr>
        <w:t>Yauda</w:t>
      </w:r>
      <w:proofErr w:type="spellEnd"/>
      <w:r w:rsidRPr="00F33474">
        <w:rPr>
          <w:rStyle w:val="Hyperlink"/>
          <w:rFonts w:eastAsia="Times New Roman"/>
          <w:sz w:val="24"/>
          <w:szCs w:val="24"/>
          <w:lang w:val="en-US"/>
        </w:rPr>
        <w:t xml:space="preserve"> Foundation website</w:t>
      </w:r>
      <w:r w:rsidRPr="00F33474">
        <w:rPr>
          <w:rFonts w:eastAsia="Times New Roman"/>
          <w:sz w:val="24"/>
          <w:szCs w:val="24"/>
          <w:lang w:val="en-US"/>
        </w:rPr>
        <w:fldChar w:fldCharType="end"/>
      </w:r>
      <w:r w:rsidRPr="00F33474">
        <w:rPr>
          <w:rFonts w:eastAsia="Times New Roman"/>
          <w:sz w:val="24"/>
          <w:szCs w:val="24"/>
          <w:lang w:val="en-US"/>
        </w:rPr>
        <w:t>)</w:t>
      </w:r>
    </w:p>
    <w:p w14:paraId="29F4C6C1" w14:textId="2E799D07" w:rsidR="00775DB7" w:rsidRPr="00775DB7" w:rsidRDefault="00F33474" w:rsidP="00775DB7">
      <w:pPr>
        <w:spacing w:after="0" w:line="240" w:lineRule="auto"/>
        <w:jc w:val="center"/>
        <w:rPr>
          <w:rFonts w:eastAsia="Times New Roman" w:cs="Times New Roman"/>
          <w:b/>
          <w:bCs/>
          <w:sz w:val="24"/>
          <w:szCs w:val="24"/>
          <w:lang w:val="en-US"/>
        </w:rPr>
      </w:pPr>
      <w:r w:rsidRPr="00F33474">
        <w:rPr>
          <w:rFonts w:eastAsia="Times New Roman" w:cs="Times New Roman"/>
          <w:b/>
          <w:bCs/>
          <w:sz w:val="24"/>
          <w:szCs w:val="24"/>
          <w:lang w:val="en-US"/>
        </w:rPr>
        <w:t>Practicum Activities: Workshops with Teachers, Youth, Elders, and Community Researchers</w:t>
      </w:r>
    </w:p>
    <w:p w14:paraId="5C1F93F0" w14:textId="03DF560C" w:rsidR="0043783C" w:rsidRDefault="00F33474" w:rsidP="0043783C">
      <w:pPr>
        <w:spacing w:before="100" w:beforeAutospacing="1" w:after="100" w:afterAutospacing="1" w:line="240" w:lineRule="auto"/>
        <w:outlineLvl w:val="2"/>
        <w:rPr>
          <w:rFonts w:eastAsia="Times New Roman" w:cs="Times New Roman"/>
          <w:b/>
          <w:bCs/>
          <w:sz w:val="24"/>
          <w:szCs w:val="24"/>
          <w:lang w:val="en-US"/>
        </w:rPr>
      </w:pPr>
      <w:r w:rsidRPr="00F33474">
        <w:rPr>
          <w:rFonts w:eastAsia="Times New Roman" w:cs="Times New Roman"/>
          <w:b/>
          <w:bCs/>
          <w:sz w:val="24"/>
          <w:szCs w:val="24"/>
          <w:lang w:val="en-US"/>
        </w:rPr>
        <w:t>Activity 1. AI-Supported Lesson Design Workshop (Teachers, Elementary and Secondary)</w:t>
      </w:r>
      <w:r w:rsidR="0043783C">
        <w:rPr>
          <w:rFonts w:eastAsia="Times New Roman" w:cs="Times New Roman"/>
          <w:b/>
          <w:bCs/>
          <w:sz w:val="24"/>
          <w:szCs w:val="24"/>
          <w:lang w:val="en-US"/>
        </w:rPr>
        <w:t xml:space="preserve"> </w:t>
      </w:r>
    </w:p>
    <w:p w14:paraId="7878702C" w14:textId="77777777" w:rsidR="00643192" w:rsidRDefault="00F33474" w:rsidP="0043783C">
      <w:pPr>
        <w:spacing w:before="100" w:beforeAutospacing="1" w:after="100" w:afterAutospacing="1" w:line="240" w:lineRule="auto"/>
        <w:outlineLvl w:val="2"/>
        <w:rPr>
          <w:rFonts w:eastAsia="Times New Roman" w:cs="Times New Roman"/>
          <w:sz w:val="24"/>
          <w:szCs w:val="24"/>
          <w:lang w:val="en-US"/>
        </w:rPr>
      </w:pPr>
      <w:r w:rsidRPr="00F33474">
        <w:rPr>
          <w:rFonts w:eastAsia="Times New Roman" w:cs="Times New Roman"/>
          <w:sz w:val="24"/>
          <w:szCs w:val="24"/>
          <w:lang w:val="en-US"/>
        </w:rPr>
        <w:t xml:space="preserve">This workshop introduced teachers to the critical use of </w:t>
      </w:r>
      <w:r w:rsidR="00775DB7">
        <w:rPr>
          <w:rFonts w:eastAsia="Times New Roman" w:cs="Times New Roman"/>
          <w:sz w:val="24"/>
          <w:szCs w:val="24"/>
          <w:lang w:val="en-US"/>
        </w:rPr>
        <w:t>A</w:t>
      </w:r>
      <w:r w:rsidRPr="00F33474">
        <w:rPr>
          <w:rFonts w:eastAsia="Times New Roman" w:cs="Times New Roman"/>
          <w:sz w:val="24"/>
          <w:szCs w:val="24"/>
          <w:lang w:val="en-US"/>
        </w:rPr>
        <w:t xml:space="preserve">rtificial </w:t>
      </w:r>
      <w:r w:rsidR="00775DB7">
        <w:rPr>
          <w:rFonts w:eastAsia="Times New Roman" w:cs="Times New Roman"/>
          <w:sz w:val="24"/>
          <w:szCs w:val="24"/>
          <w:lang w:val="en-US"/>
        </w:rPr>
        <w:t>I</w:t>
      </w:r>
      <w:r w:rsidRPr="00F33474">
        <w:rPr>
          <w:rFonts w:eastAsia="Times New Roman" w:cs="Times New Roman"/>
          <w:sz w:val="24"/>
          <w:szCs w:val="24"/>
          <w:lang w:val="en-US"/>
        </w:rPr>
        <w:t xml:space="preserve">ntelligence </w:t>
      </w:r>
      <w:r w:rsidR="00775DB7">
        <w:rPr>
          <w:rFonts w:eastAsia="Times New Roman" w:cs="Times New Roman"/>
          <w:sz w:val="24"/>
          <w:szCs w:val="24"/>
          <w:lang w:val="en-US"/>
        </w:rPr>
        <w:t xml:space="preserve">(AI) </w:t>
      </w:r>
      <w:r w:rsidRPr="00F33474">
        <w:rPr>
          <w:rFonts w:eastAsia="Times New Roman" w:cs="Times New Roman"/>
          <w:sz w:val="24"/>
          <w:szCs w:val="24"/>
          <w:lang w:val="en-US"/>
        </w:rPr>
        <w:t xml:space="preserve">for lesson planning and curriculum development. Ten teachers from elementary and upper grades participated. Due to </w:t>
      </w:r>
      <w:r w:rsidR="00775DB7">
        <w:rPr>
          <w:rFonts w:eastAsia="Times New Roman" w:cs="Times New Roman"/>
          <w:sz w:val="24"/>
          <w:szCs w:val="24"/>
          <w:lang w:val="en-US"/>
        </w:rPr>
        <w:t>heavy rains midyear</w:t>
      </w:r>
      <w:r w:rsidR="00643192">
        <w:rPr>
          <w:rFonts w:eastAsia="Times New Roman" w:cs="Times New Roman"/>
          <w:sz w:val="24"/>
          <w:szCs w:val="24"/>
          <w:lang w:val="en-US"/>
        </w:rPr>
        <w:t xml:space="preserve">, </w:t>
      </w:r>
      <w:r w:rsidR="00775DB7">
        <w:rPr>
          <w:rFonts w:eastAsia="Times New Roman" w:cs="Times New Roman"/>
          <w:sz w:val="24"/>
          <w:szCs w:val="24"/>
          <w:lang w:val="en-US"/>
        </w:rPr>
        <w:t>a</w:t>
      </w:r>
      <w:r w:rsidRPr="00F33474">
        <w:rPr>
          <w:rFonts w:eastAsia="Times New Roman" w:cs="Times New Roman"/>
          <w:sz w:val="24"/>
          <w:szCs w:val="24"/>
          <w:lang w:val="en-US"/>
        </w:rPr>
        <w:t xml:space="preserve"> </w:t>
      </w:r>
      <w:r w:rsidRPr="006E4F1A">
        <w:rPr>
          <w:rFonts w:eastAsia="Times New Roman" w:cs="Times New Roman"/>
          <w:sz w:val="24"/>
          <w:szCs w:val="24"/>
          <w:lang w:val="en-US"/>
        </w:rPr>
        <w:t>flood</w:t>
      </w:r>
      <w:r w:rsidR="00775DB7">
        <w:rPr>
          <w:rFonts w:eastAsia="Times New Roman" w:cs="Times New Roman"/>
          <w:sz w:val="24"/>
          <w:szCs w:val="24"/>
          <w:lang w:val="en-US"/>
        </w:rPr>
        <w:t xml:space="preserve"> </w:t>
      </w:r>
      <w:r w:rsidR="00643192">
        <w:rPr>
          <w:rFonts w:eastAsia="Times New Roman" w:cs="Times New Roman"/>
          <w:sz w:val="24"/>
          <w:szCs w:val="24"/>
          <w:lang w:val="en-US"/>
        </w:rPr>
        <w:t>severely impacted the Highschool building in La Chorrera</w:t>
      </w:r>
      <w:r w:rsidR="00775DB7">
        <w:rPr>
          <w:rFonts w:eastAsia="Times New Roman" w:cs="Times New Roman"/>
          <w:sz w:val="24"/>
          <w:szCs w:val="24"/>
          <w:lang w:val="en-US"/>
        </w:rPr>
        <w:t xml:space="preserve"> (May-July 2025)</w:t>
      </w:r>
      <w:r w:rsidR="00643192">
        <w:rPr>
          <w:rFonts w:eastAsia="Times New Roman" w:cs="Times New Roman"/>
          <w:sz w:val="24"/>
          <w:szCs w:val="24"/>
          <w:lang w:val="en-US"/>
        </w:rPr>
        <w:t>. The Highschool s</w:t>
      </w:r>
      <w:r w:rsidR="00775DB7">
        <w:rPr>
          <w:rFonts w:eastAsia="Times New Roman" w:cs="Times New Roman"/>
          <w:sz w:val="24"/>
          <w:szCs w:val="24"/>
          <w:lang w:val="en-US"/>
        </w:rPr>
        <w:t xml:space="preserve">tudents and teachers </w:t>
      </w:r>
      <w:proofErr w:type="gramStart"/>
      <w:r w:rsidR="00775DB7">
        <w:rPr>
          <w:rFonts w:eastAsia="Times New Roman" w:cs="Times New Roman"/>
          <w:sz w:val="24"/>
          <w:szCs w:val="24"/>
          <w:lang w:val="en-US"/>
        </w:rPr>
        <w:t>where</w:t>
      </w:r>
      <w:proofErr w:type="gramEnd"/>
      <w:r w:rsidR="00775DB7">
        <w:rPr>
          <w:rFonts w:eastAsia="Times New Roman" w:cs="Times New Roman"/>
          <w:sz w:val="24"/>
          <w:szCs w:val="24"/>
          <w:lang w:val="en-US"/>
        </w:rPr>
        <w:t xml:space="preserve"> sharing the elementary building</w:t>
      </w:r>
      <w:r w:rsidR="00643192">
        <w:rPr>
          <w:rFonts w:eastAsia="Times New Roman" w:cs="Times New Roman"/>
          <w:sz w:val="24"/>
          <w:szCs w:val="24"/>
          <w:lang w:val="en-US"/>
        </w:rPr>
        <w:t xml:space="preserve">, elementary functioned in the morning  and high school in the afternoon. </w:t>
      </w:r>
      <w:r w:rsidR="00775DB7">
        <w:rPr>
          <w:rFonts w:eastAsia="Times New Roman" w:cs="Times New Roman"/>
          <w:sz w:val="24"/>
          <w:szCs w:val="24"/>
          <w:lang w:val="en-US"/>
        </w:rPr>
        <w:t xml:space="preserve">  </w:t>
      </w:r>
    </w:p>
    <w:p w14:paraId="102927CA" w14:textId="18E294C9" w:rsidR="0043783C" w:rsidRDefault="00643192" w:rsidP="0043783C">
      <w:pPr>
        <w:spacing w:before="100" w:beforeAutospacing="1" w:after="100" w:afterAutospacing="1" w:line="240" w:lineRule="auto"/>
        <w:outlineLvl w:val="2"/>
        <w:rPr>
          <w:rFonts w:eastAsia="Times New Roman" w:cs="Times New Roman"/>
          <w:sz w:val="24"/>
          <w:szCs w:val="24"/>
          <w:lang w:val="en-US"/>
        </w:rPr>
      </w:pPr>
      <w:r>
        <w:rPr>
          <w:rFonts w:eastAsia="Times New Roman" w:cs="Times New Roman"/>
          <w:sz w:val="24"/>
          <w:szCs w:val="24"/>
          <w:lang w:val="en-US"/>
        </w:rPr>
        <w:t>T</w:t>
      </w:r>
      <w:r w:rsidR="00F33474" w:rsidRPr="00F33474">
        <w:rPr>
          <w:rFonts w:eastAsia="Times New Roman" w:cs="Times New Roman"/>
          <w:sz w:val="24"/>
          <w:szCs w:val="24"/>
          <w:lang w:val="en-US"/>
        </w:rPr>
        <w:t>he workshop was held during midday, when teacher schedules converged. The session began with activities exploring teachers’ personal learning histories and the concept of nature as a teacher through drawing and collective reflection. Teachers then practiced developing AI prompts aligned with desired learning outcomes</w:t>
      </w:r>
      <w:r>
        <w:rPr>
          <w:rFonts w:eastAsia="Times New Roman" w:cs="Times New Roman"/>
          <w:sz w:val="24"/>
          <w:szCs w:val="24"/>
          <w:lang w:val="en-US"/>
        </w:rPr>
        <w:t>, used a mental map for designing prompts</w:t>
      </w:r>
      <w:r w:rsidR="00F33474" w:rsidRPr="00F33474">
        <w:rPr>
          <w:rFonts w:eastAsia="Times New Roman" w:cs="Times New Roman"/>
          <w:sz w:val="24"/>
          <w:szCs w:val="24"/>
          <w:lang w:val="en-US"/>
        </w:rPr>
        <w:t xml:space="preserve"> while analyzing risks, limitations, and ethical considerations of AI in education.</w:t>
      </w:r>
    </w:p>
    <w:p w14:paraId="2687B644" w14:textId="4772B358" w:rsidR="00F33474" w:rsidRDefault="00F33474" w:rsidP="0043783C">
      <w:pPr>
        <w:spacing w:before="100" w:beforeAutospacing="1" w:after="100" w:afterAutospacing="1" w:line="240" w:lineRule="auto"/>
        <w:outlineLvl w:val="2"/>
        <w:rPr>
          <w:rFonts w:eastAsia="Times New Roman" w:cs="Times New Roman"/>
          <w:sz w:val="24"/>
          <w:szCs w:val="24"/>
          <w:lang w:val="en-US"/>
        </w:rPr>
      </w:pPr>
      <w:r w:rsidRPr="00F33474">
        <w:rPr>
          <w:rFonts w:eastAsia="Times New Roman" w:cs="Times New Roman"/>
          <w:sz w:val="24"/>
          <w:szCs w:val="24"/>
          <w:lang w:val="en-US"/>
        </w:rPr>
        <w:br/>
      </w:r>
      <w:r w:rsidRPr="00F33474">
        <w:rPr>
          <w:rFonts w:eastAsia="Times New Roman" w:cs="Times New Roman"/>
          <w:b/>
          <w:bCs/>
          <w:sz w:val="24"/>
          <w:szCs w:val="24"/>
          <w:lang w:val="en-US"/>
        </w:rPr>
        <w:t>Learning outcomes:</w:t>
      </w:r>
      <w:r w:rsidRPr="00F33474">
        <w:rPr>
          <w:rFonts w:eastAsia="Times New Roman" w:cs="Times New Roman"/>
          <w:sz w:val="24"/>
          <w:szCs w:val="24"/>
          <w:lang w:val="en-US"/>
        </w:rPr>
        <w:br/>
        <w:t>– Ability to design prompts for lesson planning aligned with educational goals</w:t>
      </w:r>
      <w:r w:rsidRPr="00F33474">
        <w:rPr>
          <w:rFonts w:eastAsia="Times New Roman" w:cs="Times New Roman"/>
          <w:sz w:val="24"/>
          <w:szCs w:val="24"/>
          <w:lang w:val="en-US"/>
        </w:rPr>
        <w:br/>
        <w:t>– Critical understanding of AI’s risks and limitations in Indigenous education</w:t>
      </w:r>
      <w:r w:rsidRPr="00F33474">
        <w:rPr>
          <w:rFonts w:eastAsia="Times New Roman" w:cs="Times New Roman"/>
          <w:sz w:val="24"/>
          <w:szCs w:val="24"/>
          <w:lang w:val="en-US"/>
        </w:rPr>
        <w:br/>
        <w:t>– Reflection on personal identity, educational pathways, and relationship with nature</w:t>
      </w:r>
    </w:p>
    <w:p w14:paraId="2A776E0A" w14:textId="77777777" w:rsidR="007C51CA" w:rsidRPr="0043783C" w:rsidRDefault="007C51CA" w:rsidP="0043783C">
      <w:pPr>
        <w:spacing w:before="100" w:beforeAutospacing="1" w:after="100" w:afterAutospacing="1" w:line="240" w:lineRule="auto"/>
        <w:outlineLvl w:val="2"/>
        <w:rPr>
          <w:rFonts w:eastAsia="Times New Roman" w:cs="Times New Roman"/>
          <w:b/>
          <w:bCs/>
          <w:sz w:val="24"/>
          <w:szCs w:val="24"/>
          <w:lang w:val="en-US"/>
        </w:rPr>
      </w:pPr>
    </w:p>
    <w:p w14:paraId="05BE0AD5" w14:textId="40DE6BD5" w:rsidR="0043783C" w:rsidRPr="007934AB" w:rsidRDefault="0043783C" w:rsidP="00F33474">
      <w:pPr>
        <w:spacing w:before="100" w:beforeAutospacing="1" w:after="100" w:afterAutospacing="1" w:line="240" w:lineRule="auto"/>
        <w:rPr>
          <w:rFonts w:eastAsia="Times New Roman" w:cs="Times New Roman"/>
          <w:sz w:val="24"/>
          <w:szCs w:val="24"/>
          <w:lang w:val="en-US"/>
        </w:rPr>
      </w:pPr>
      <w:r>
        <w:rPr>
          <w:rFonts w:eastAsia="Times New Roman" w:cs="Times New Roman"/>
          <w:noProof/>
          <w:sz w:val="24"/>
          <w:szCs w:val="24"/>
          <w:lang w:val="en-US"/>
        </w:rPr>
        <w:lastRenderedPageBreak/>
        <w:drawing>
          <wp:inline distT="0" distB="0" distL="0" distR="0" wp14:anchorId="57E9DBEA" wp14:editId="4DF267EB">
            <wp:extent cx="2751151" cy="1499289"/>
            <wp:effectExtent l="0" t="0" r="0" b="5715"/>
            <wp:docPr id="2084338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708" cy="1514307"/>
                    </a:xfrm>
                    <a:prstGeom prst="rect">
                      <a:avLst/>
                    </a:prstGeom>
                    <a:noFill/>
                    <a:ln>
                      <a:noFill/>
                    </a:ln>
                  </pic:spPr>
                </pic:pic>
              </a:graphicData>
            </a:graphic>
          </wp:inline>
        </w:drawing>
      </w:r>
      <w:r>
        <w:rPr>
          <w:rFonts w:eastAsia="Times New Roman" w:cs="Times New Roman"/>
          <w:sz w:val="24"/>
          <w:szCs w:val="24"/>
          <w:lang w:val="en-US"/>
        </w:rPr>
        <w:t xml:space="preserve"> </w:t>
      </w:r>
      <w:r>
        <w:rPr>
          <w:rFonts w:eastAsia="Times New Roman" w:cs="Times New Roman"/>
          <w:noProof/>
          <w:sz w:val="24"/>
          <w:szCs w:val="24"/>
          <w:lang w:val="en-US"/>
        </w:rPr>
        <w:drawing>
          <wp:inline distT="0" distB="0" distL="0" distR="0" wp14:anchorId="59D7DDFF" wp14:editId="2C04C47B">
            <wp:extent cx="2817576" cy="1505115"/>
            <wp:effectExtent l="0" t="0" r="1905" b="0"/>
            <wp:docPr id="923767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77704" cy="1537235"/>
                    </a:xfrm>
                    <a:prstGeom prst="rect">
                      <a:avLst/>
                    </a:prstGeom>
                    <a:noFill/>
                    <a:ln>
                      <a:noFill/>
                    </a:ln>
                  </pic:spPr>
                </pic:pic>
              </a:graphicData>
            </a:graphic>
          </wp:inline>
        </w:drawing>
      </w:r>
    </w:p>
    <w:p w14:paraId="511A5383" w14:textId="77777777" w:rsidR="008123ED" w:rsidRDefault="008123ED" w:rsidP="00F33474">
      <w:pPr>
        <w:spacing w:before="100" w:beforeAutospacing="1" w:after="100" w:afterAutospacing="1" w:line="240" w:lineRule="auto"/>
        <w:rPr>
          <w:rFonts w:eastAsia="Times New Roman" w:cs="Times New Roman"/>
          <w:b/>
          <w:bCs/>
          <w:sz w:val="24"/>
          <w:szCs w:val="24"/>
          <w:lang w:val="en-US"/>
        </w:rPr>
      </w:pPr>
    </w:p>
    <w:p w14:paraId="55EE8036" w14:textId="256DF0DD" w:rsidR="00F33474" w:rsidRDefault="00F33474" w:rsidP="00F33474">
      <w:pPr>
        <w:spacing w:before="100" w:beforeAutospacing="1" w:after="100" w:afterAutospacing="1" w:line="240" w:lineRule="auto"/>
        <w:rPr>
          <w:rFonts w:eastAsia="Times New Roman" w:cs="Times New Roman"/>
          <w:b/>
          <w:bCs/>
          <w:sz w:val="24"/>
          <w:szCs w:val="24"/>
          <w:lang w:val="en-US"/>
        </w:rPr>
      </w:pPr>
      <w:r w:rsidRPr="00F33474">
        <w:rPr>
          <w:rFonts w:eastAsia="Times New Roman" w:cs="Times New Roman"/>
          <w:b/>
          <w:bCs/>
          <w:sz w:val="24"/>
          <w:szCs w:val="24"/>
          <w:lang w:val="en-US"/>
        </w:rPr>
        <w:t>Activity 2. Nature Observation Walks with Binoculars (9th Grade and Science Teacher)</w:t>
      </w:r>
    </w:p>
    <w:p w14:paraId="31975569" w14:textId="71A3EC0B" w:rsidR="0043783C" w:rsidRPr="00F33474" w:rsidRDefault="0043783C" w:rsidP="00F33474">
      <w:pPr>
        <w:spacing w:before="100" w:beforeAutospacing="1" w:after="100" w:afterAutospacing="1" w:line="240" w:lineRule="auto"/>
        <w:rPr>
          <w:rFonts w:eastAsia="Times New Roman" w:cs="Times New Roman"/>
          <w:sz w:val="24"/>
          <w:szCs w:val="24"/>
          <w:lang w:val="en-US"/>
        </w:rPr>
      </w:pPr>
      <w:r>
        <w:rPr>
          <w:rFonts w:eastAsia="Times New Roman" w:cs="Times New Roman"/>
          <w:noProof/>
          <w:sz w:val="24"/>
          <w:szCs w:val="24"/>
          <w:lang w:val="en-US"/>
        </w:rPr>
        <w:drawing>
          <wp:anchor distT="0" distB="0" distL="114300" distR="114300" simplePos="0" relativeHeight="251658240" behindDoc="0" locked="0" layoutInCell="1" allowOverlap="1" wp14:anchorId="4DC3969B" wp14:editId="0BB4C210">
            <wp:simplePos x="0" y="0"/>
            <wp:positionH relativeFrom="column">
              <wp:posOffset>95250</wp:posOffset>
            </wp:positionH>
            <wp:positionV relativeFrom="paragraph">
              <wp:posOffset>65405</wp:posOffset>
            </wp:positionV>
            <wp:extent cx="2202180" cy="3388995"/>
            <wp:effectExtent l="0" t="0" r="7620" b="1905"/>
            <wp:wrapSquare wrapText="bothSides"/>
            <wp:docPr id="1712160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79" b="5670"/>
                    <a:stretch>
                      <a:fillRect/>
                    </a:stretch>
                  </pic:blipFill>
                  <pic:spPr bwMode="auto">
                    <a:xfrm flipH="1">
                      <a:off x="0" y="0"/>
                      <a:ext cx="2202180" cy="338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474" w:rsidRPr="00F33474">
        <w:rPr>
          <w:rFonts w:eastAsia="Times New Roman" w:cs="Times New Roman"/>
          <w:sz w:val="24"/>
          <w:szCs w:val="24"/>
          <w:lang w:val="en-US"/>
        </w:rPr>
        <w:t>Teachers and students conducted guided nature observations using binoculars to examine changes in the environment after rainfall. Participants practiced taking field notes, asking questions, and connecting observations to traditional ecological knowledge. Two walks</w:t>
      </w:r>
      <w:r w:rsidR="00CB0BFB">
        <w:rPr>
          <w:rFonts w:eastAsia="Times New Roman" w:cs="Times New Roman"/>
          <w:sz w:val="24"/>
          <w:szCs w:val="24"/>
          <w:lang w:val="en-US"/>
        </w:rPr>
        <w:t xml:space="preserve">: </w:t>
      </w:r>
      <w:r w:rsidR="00F33474" w:rsidRPr="00F33474">
        <w:rPr>
          <w:rFonts w:eastAsia="Times New Roman" w:cs="Times New Roman"/>
          <w:sz w:val="24"/>
          <w:szCs w:val="24"/>
          <w:lang w:val="en-US"/>
        </w:rPr>
        <w:t>one in the elementary area and one in the upper school</w:t>
      </w:r>
      <w:r w:rsidR="00CB0BFB">
        <w:rPr>
          <w:rFonts w:eastAsia="Times New Roman" w:cs="Times New Roman"/>
          <w:sz w:val="24"/>
          <w:szCs w:val="24"/>
          <w:lang w:val="en-US"/>
        </w:rPr>
        <w:t xml:space="preserve">, </w:t>
      </w:r>
      <w:r w:rsidR="00F33474" w:rsidRPr="00F33474">
        <w:rPr>
          <w:rFonts w:eastAsia="Times New Roman" w:cs="Times New Roman"/>
          <w:sz w:val="24"/>
          <w:szCs w:val="24"/>
          <w:lang w:val="en-US"/>
        </w:rPr>
        <w:t>allowed the group to identify natural elements that could serve as future investigation topics. Classroom activities followed, in which students practiced formulating questions and reflecting on their observations.</w:t>
      </w:r>
      <w:r w:rsidR="00F33474" w:rsidRPr="00F33474">
        <w:rPr>
          <w:rFonts w:eastAsia="Times New Roman" w:cs="Times New Roman"/>
          <w:sz w:val="24"/>
          <w:szCs w:val="24"/>
          <w:lang w:val="en-US"/>
        </w:rPr>
        <w:br/>
      </w:r>
      <w:r w:rsidR="00F33474" w:rsidRPr="00F33474">
        <w:rPr>
          <w:rFonts w:eastAsia="Times New Roman" w:cs="Times New Roman"/>
          <w:b/>
          <w:bCs/>
          <w:sz w:val="24"/>
          <w:szCs w:val="24"/>
          <w:lang w:val="en-US"/>
        </w:rPr>
        <w:t>Learning outcomes:</w:t>
      </w:r>
      <w:r w:rsidR="00F33474" w:rsidRPr="00F33474">
        <w:rPr>
          <w:rFonts w:eastAsia="Times New Roman" w:cs="Times New Roman"/>
          <w:sz w:val="24"/>
          <w:szCs w:val="24"/>
          <w:lang w:val="en-US"/>
        </w:rPr>
        <w:br/>
        <w:t>– Teachers practiced guiding binocular-based explorations connected to weather and ecological patterns</w:t>
      </w:r>
      <w:r w:rsidR="00F33474" w:rsidRPr="00F33474">
        <w:rPr>
          <w:rFonts w:eastAsia="Times New Roman" w:cs="Times New Roman"/>
          <w:sz w:val="24"/>
          <w:szCs w:val="24"/>
          <w:lang w:val="en-US"/>
        </w:rPr>
        <w:br/>
        <w:t>– Students improved questioning skills and observation techniques</w:t>
      </w:r>
      <w:r w:rsidR="00F33474" w:rsidRPr="00F33474">
        <w:rPr>
          <w:rFonts w:eastAsia="Times New Roman" w:cs="Times New Roman"/>
          <w:sz w:val="24"/>
          <w:szCs w:val="24"/>
          <w:lang w:val="en-US"/>
        </w:rPr>
        <w:br/>
        <w:t>– Identification of biophysical features for future school-based investigations</w:t>
      </w:r>
    </w:p>
    <w:p w14:paraId="1D1F6633" w14:textId="3C032F9B" w:rsidR="00F33474" w:rsidRPr="00F33474" w:rsidRDefault="006C2326" w:rsidP="00F33474">
      <w:pPr>
        <w:spacing w:before="100" w:beforeAutospacing="1" w:after="100" w:afterAutospacing="1" w:line="240" w:lineRule="auto"/>
        <w:outlineLvl w:val="2"/>
        <w:rPr>
          <w:rFonts w:eastAsia="Times New Roman" w:cs="Times New Roman"/>
          <w:b/>
          <w:bCs/>
          <w:sz w:val="24"/>
          <w:szCs w:val="24"/>
          <w:lang w:val="en-US"/>
        </w:rPr>
      </w:pPr>
      <w:r>
        <w:rPr>
          <w:rFonts w:eastAsia="Times New Roman" w:cs="Times New Roman"/>
          <w:noProof/>
          <w:sz w:val="24"/>
          <w:szCs w:val="24"/>
          <w:lang w:val="en-US"/>
        </w:rPr>
        <w:lastRenderedPageBreak/>
        <w:drawing>
          <wp:anchor distT="0" distB="0" distL="114300" distR="114300" simplePos="0" relativeHeight="251659264" behindDoc="0" locked="0" layoutInCell="1" allowOverlap="1" wp14:anchorId="69A8ECF9" wp14:editId="65A39A62">
            <wp:simplePos x="0" y="0"/>
            <wp:positionH relativeFrom="column">
              <wp:posOffset>3935288</wp:posOffset>
            </wp:positionH>
            <wp:positionV relativeFrom="paragraph">
              <wp:posOffset>281250</wp:posOffset>
            </wp:positionV>
            <wp:extent cx="1929130" cy="3458210"/>
            <wp:effectExtent l="0" t="0" r="0" b="8890"/>
            <wp:wrapSquare wrapText="bothSides"/>
            <wp:docPr id="2109233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29130" cy="3458210"/>
                    </a:xfrm>
                    <a:prstGeom prst="rect">
                      <a:avLst/>
                    </a:prstGeom>
                    <a:noFill/>
                    <a:ln>
                      <a:noFill/>
                    </a:ln>
                  </pic:spPr>
                </pic:pic>
              </a:graphicData>
            </a:graphic>
          </wp:anchor>
        </w:drawing>
      </w:r>
      <w:r w:rsidR="00F33474" w:rsidRPr="00F33474">
        <w:rPr>
          <w:rFonts w:eastAsia="Times New Roman" w:cs="Times New Roman"/>
          <w:b/>
          <w:bCs/>
          <w:sz w:val="24"/>
          <w:szCs w:val="24"/>
          <w:lang w:val="en-US"/>
        </w:rPr>
        <w:t>Activity 3. Camera Trap Biodiversity Exploration (3rd Grade)</w:t>
      </w:r>
    </w:p>
    <w:p w14:paraId="313A9741" w14:textId="77777777" w:rsidR="008123ED" w:rsidRDefault="00F33474" w:rsidP="00F33474">
      <w:pPr>
        <w:spacing w:before="100" w:beforeAutospacing="1" w:after="100" w:afterAutospacing="1" w:line="240" w:lineRule="auto"/>
        <w:rPr>
          <w:rFonts w:eastAsia="Times New Roman" w:cs="Times New Roman"/>
          <w:sz w:val="24"/>
          <w:szCs w:val="24"/>
          <w:lang w:val="en-US"/>
        </w:rPr>
      </w:pPr>
      <w:r w:rsidRPr="00F33474">
        <w:rPr>
          <w:rFonts w:eastAsia="Times New Roman" w:cs="Times New Roman"/>
          <w:sz w:val="24"/>
          <w:szCs w:val="24"/>
          <w:lang w:val="en-US"/>
        </w:rPr>
        <w:t>A 3rd-grade teacher and her students learned how to install, program, and manage a camera trap for documenting biodiversity in the surrounding floodplain forest. The group explored fruiting trees and the animals interacting with them, later reviewing the captured images and videos in class. Students practiced question sequences to support collective reflection and deepen their understanding of animal behavior. Activities also included learning games using local Indigenous languages for names of animals and fruits, reinforcing community knowledge and peer learning.</w:t>
      </w:r>
    </w:p>
    <w:p w14:paraId="58A07CDB" w14:textId="019E4E9D" w:rsidR="00F33474" w:rsidRDefault="00F33474" w:rsidP="00F33474">
      <w:pPr>
        <w:spacing w:before="100" w:beforeAutospacing="1" w:after="100" w:afterAutospacing="1" w:line="240" w:lineRule="auto"/>
        <w:rPr>
          <w:rFonts w:eastAsia="Times New Roman" w:cs="Times New Roman"/>
          <w:sz w:val="24"/>
          <w:szCs w:val="24"/>
          <w:lang w:val="en-US"/>
        </w:rPr>
      </w:pPr>
      <w:r w:rsidRPr="00F33474">
        <w:rPr>
          <w:rFonts w:eastAsia="Times New Roman" w:cs="Times New Roman"/>
          <w:sz w:val="24"/>
          <w:szCs w:val="24"/>
          <w:lang w:val="en-US"/>
        </w:rPr>
        <w:br/>
      </w:r>
      <w:r w:rsidRPr="00F33474">
        <w:rPr>
          <w:rFonts w:eastAsia="Times New Roman" w:cs="Times New Roman"/>
          <w:b/>
          <w:bCs/>
          <w:sz w:val="24"/>
          <w:szCs w:val="24"/>
          <w:lang w:val="en-US"/>
        </w:rPr>
        <w:t>Learning outcomes:</w:t>
      </w:r>
      <w:r w:rsidRPr="00F33474">
        <w:rPr>
          <w:rFonts w:eastAsia="Times New Roman" w:cs="Times New Roman"/>
          <w:sz w:val="24"/>
          <w:szCs w:val="24"/>
          <w:lang w:val="en-US"/>
        </w:rPr>
        <w:br/>
        <w:t>– Teacher ability to set up, manage, and integrate camera trap data into classroom activities</w:t>
      </w:r>
      <w:r w:rsidRPr="00F33474">
        <w:rPr>
          <w:rFonts w:eastAsia="Times New Roman" w:cs="Times New Roman"/>
          <w:sz w:val="24"/>
          <w:szCs w:val="24"/>
          <w:lang w:val="en-US"/>
        </w:rPr>
        <w:br/>
        <w:t>– Student development of questioning skills based on digital biodiversity images</w:t>
      </w:r>
      <w:r w:rsidRPr="00F33474">
        <w:rPr>
          <w:rFonts w:eastAsia="Times New Roman" w:cs="Times New Roman"/>
          <w:sz w:val="24"/>
          <w:szCs w:val="24"/>
          <w:lang w:val="en-US"/>
        </w:rPr>
        <w:br/>
        <w:t>– Strengthening of local language use related to forest species</w:t>
      </w:r>
    </w:p>
    <w:tbl>
      <w:tblPr>
        <w:tblStyle w:val="TableGrid"/>
        <w:tblW w:w="10172" w:type="dxa"/>
        <w:tblInd w:w="-275" w:type="dxa"/>
        <w:tblLook w:val="04A0" w:firstRow="1" w:lastRow="0" w:firstColumn="1" w:lastColumn="0" w:noHBand="0" w:noVBand="1"/>
      </w:tblPr>
      <w:tblGrid>
        <w:gridCol w:w="5136"/>
        <w:gridCol w:w="5357"/>
      </w:tblGrid>
      <w:tr w:rsidR="00A85644" w14:paraId="4DBCCD4A" w14:textId="77777777" w:rsidTr="00A85644">
        <w:trPr>
          <w:trHeight w:val="3071"/>
        </w:trPr>
        <w:tc>
          <w:tcPr>
            <w:tcW w:w="4991" w:type="dxa"/>
          </w:tcPr>
          <w:p w14:paraId="4D162090" w14:textId="7AB97BFB" w:rsidR="0023290E" w:rsidRDefault="0023290E" w:rsidP="00F33474">
            <w:pPr>
              <w:spacing w:before="100" w:beforeAutospacing="1" w:after="100" w:afterAutospacing="1" w:line="240" w:lineRule="auto"/>
              <w:rPr>
                <w:rFonts w:eastAsia="Times New Roman" w:cs="Times New Roman"/>
                <w:sz w:val="24"/>
                <w:szCs w:val="24"/>
                <w:lang w:val="en-US"/>
              </w:rPr>
            </w:pPr>
            <w:r>
              <w:rPr>
                <w:rFonts w:eastAsia="Times New Roman" w:cs="Times New Roman"/>
                <w:noProof/>
                <w:sz w:val="24"/>
                <w:szCs w:val="24"/>
                <w:lang w:val="en-US"/>
              </w:rPr>
              <w:drawing>
                <wp:inline distT="0" distB="0" distL="0" distR="0" wp14:anchorId="38D63349" wp14:editId="23FFFCAE">
                  <wp:extent cx="3123609" cy="1757239"/>
                  <wp:effectExtent l="0" t="0" r="635" b="0"/>
                  <wp:docPr id="22245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069" cy="1774375"/>
                          </a:xfrm>
                          <a:prstGeom prst="rect">
                            <a:avLst/>
                          </a:prstGeom>
                          <a:noFill/>
                          <a:ln>
                            <a:noFill/>
                          </a:ln>
                        </pic:spPr>
                      </pic:pic>
                    </a:graphicData>
                  </a:graphic>
                </wp:inline>
              </w:drawing>
            </w:r>
          </w:p>
        </w:tc>
        <w:tc>
          <w:tcPr>
            <w:tcW w:w="5181" w:type="dxa"/>
          </w:tcPr>
          <w:p w14:paraId="64EC065B" w14:textId="7E6CDFD7" w:rsidR="0023290E" w:rsidRDefault="0023290E" w:rsidP="00F33474">
            <w:pPr>
              <w:spacing w:before="100" w:beforeAutospacing="1" w:after="100" w:afterAutospacing="1" w:line="240" w:lineRule="auto"/>
              <w:rPr>
                <w:rFonts w:eastAsia="Times New Roman" w:cs="Times New Roman"/>
                <w:sz w:val="24"/>
                <w:szCs w:val="24"/>
                <w:lang w:val="en-US"/>
              </w:rPr>
            </w:pPr>
            <w:r>
              <w:rPr>
                <w:rFonts w:eastAsia="Times New Roman" w:cs="Times New Roman"/>
                <w:noProof/>
                <w:sz w:val="24"/>
                <w:szCs w:val="24"/>
                <w:lang w:val="en-US"/>
              </w:rPr>
              <w:drawing>
                <wp:inline distT="0" distB="0" distL="0" distR="0" wp14:anchorId="31D4261B" wp14:editId="4B735E93">
                  <wp:extent cx="3264949" cy="1836752"/>
                  <wp:effectExtent l="0" t="0" r="0" b="0"/>
                  <wp:docPr id="732754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809" cy="1854675"/>
                          </a:xfrm>
                          <a:prstGeom prst="rect">
                            <a:avLst/>
                          </a:prstGeom>
                          <a:noFill/>
                          <a:ln>
                            <a:noFill/>
                          </a:ln>
                        </pic:spPr>
                      </pic:pic>
                    </a:graphicData>
                  </a:graphic>
                </wp:inline>
              </w:drawing>
            </w:r>
          </w:p>
        </w:tc>
      </w:tr>
      <w:tr w:rsidR="006C2326" w14:paraId="799EDB80" w14:textId="77777777" w:rsidTr="00A85644">
        <w:trPr>
          <w:trHeight w:val="3237"/>
        </w:trPr>
        <w:tc>
          <w:tcPr>
            <w:tcW w:w="4991" w:type="dxa"/>
          </w:tcPr>
          <w:p w14:paraId="002F41A2" w14:textId="491A95A2" w:rsidR="006C2326" w:rsidRDefault="006C2326" w:rsidP="00F33474">
            <w:pPr>
              <w:spacing w:before="100" w:beforeAutospacing="1" w:after="100" w:afterAutospacing="1" w:line="240" w:lineRule="auto"/>
              <w:rPr>
                <w:rFonts w:eastAsia="Times New Roman" w:cs="Times New Roman"/>
                <w:noProof/>
                <w:sz w:val="24"/>
                <w:szCs w:val="24"/>
                <w:lang w:val="en-US"/>
              </w:rPr>
            </w:pPr>
            <w:r>
              <w:rPr>
                <w:rFonts w:eastAsia="Times New Roman" w:cs="Times New Roman"/>
                <w:noProof/>
                <w:sz w:val="24"/>
                <w:szCs w:val="24"/>
                <w:lang w:val="en-US"/>
              </w:rPr>
              <w:lastRenderedPageBreak/>
              <w:drawing>
                <wp:inline distT="0" distB="0" distL="0" distR="0" wp14:anchorId="0FEB60B5" wp14:editId="0AB1360E">
                  <wp:extent cx="3029447" cy="2037991"/>
                  <wp:effectExtent l="0" t="0" r="0" b="635"/>
                  <wp:docPr id="1990138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1441" cy="2052787"/>
                          </a:xfrm>
                          <a:prstGeom prst="rect">
                            <a:avLst/>
                          </a:prstGeom>
                          <a:noFill/>
                          <a:ln>
                            <a:noFill/>
                          </a:ln>
                        </pic:spPr>
                      </pic:pic>
                    </a:graphicData>
                  </a:graphic>
                </wp:inline>
              </w:drawing>
            </w:r>
          </w:p>
        </w:tc>
        <w:tc>
          <w:tcPr>
            <w:tcW w:w="5181" w:type="dxa"/>
          </w:tcPr>
          <w:p w14:paraId="2FF5893E" w14:textId="10613B36" w:rsidR="006C2326" w:rsidRDefault="006C2326" w:rsidP="00F33474">
            <w:pPr>
              <w:spacing w:before="100" w:beforeAutospacing="1" w:after="100" w:afterAutospacing="1" w:line="240" w:lineRule="auto"/>
              <w:rPr>
                <w:rFonts w:eastAsia="Times New Roman" w:cs="Times New Roman"/>
                <w:noProof/>
                <w:sz w:val="24"/>
                <w:szCs w:val="24"/>
                <w:lang w:val="en-US"/>
              </w:rPr>
            </w:pPr>
            <w:r>
              <w:rPr>
                <w:rFonts w:eastAsia="Times New Roman" w:cs="Times New Roman"/>
                <w:noProof/>
                <w:sz w:val="24"/>
                <w:szCs w:val="24"/>
                <w:lang w:val="en-US"/>
              </w:rPr>
              <w:drawing>
                <wp:inline distT="0" distB="0" distL="0" distR="0" wp14:anchorId="7497659F" wp14:editId="4801DE12">
                  <wp:extent cx="3231598" cy="1764259"/>
                  <wp:effectExtent l="0" t="0" r="6985" b="7620"/>
                  <wp:docPr id="1837813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2309" cy="1786485"/>
                          </a:xfrm>
                          <a:prstGeom prst="rect">
                            <a:avLst/>
                          </a:prstGeom>
                          <a:noFill/>
                          <a:ln>
                            <a:noFill/>
                          </a:ln>
                        </pic:spPr>
                      </pic:pic>
                    </a:graphicData>
                  </a:graphic>
                </wp:inline>
              </w:drawing>
            </w:r>
          </w:p>
        </w:tc>
      </w:tr>
    </w:tbl>
    <w:p w14:paraId="76C921EE" w14:textId="77777777" w:rsidR="00A85644" w:rsidRDefault="00A85644" w:rsidP="00F33474">
      <w:pPr>
        <w:spacing w:before="100" w:beforeAutospacing="1" w:after="100" w:afterAutospacing="1" w:line="240" w:lineRule="auto"/>
        <w:outlineLvl w:val="2"/>
        <w:rPr>
          <w:rFonts w:eastAsia="Times New Roman" w:cs="Times New Roman"/>
          <w:b/>
          <w:bCs/>
          <w:sz w:val="24"/>
          <w:szCs w:val="24"/>
          <w:lang w:val="en-US"/>
        </w:rPr>
      </w:pPr>
    </w:p>
    <w:p w14:paraId="1FE2BE98" w14:textId="0E51E4F4" w:rsidR="00F33474" w:rsidRPr="00F33474" w:rsidRDefault="00F33474" w:rsidP="00F33474">
      <w:pPr>
        <w:spacing w:before="100" w:beforeAutospacing="1" w:after="100" w:afterAutospacing="1" w:line="240" w:lineRule="auto"/>
        <w:outlineLvl w:val="2"/>
        <w:rPr>
          <w:rFonts w:eastAsia="Times New Roman" w:cs="Times New Roman"/>
          <w:b/>
          <w:bCs/>
          <w:sz w:val="24"/>
          <w:szCs w:val="24"/>
          <w:lang w:val="en-US"/>
        </w:rPr>
      </w:pPr>
      <w:r w:rsidRPr="00F33474">
        <w:rPr>
          <w:rFonts w:eastAsia="Times New Roman" w:cs="Times New Roman"/>
          <w:b/>
          <w:bCs/>
          <w:sz w:val="24"/>
          <w:szCs w:val="24"/>
          <w:lang w:val="en-US"/>
        </w:rPr>
        <w:t>Activity 4. Elder–Youth Language Revitalization Circle Using Student Drawings</w:t>
      </w:r>
    </w:p>
    <w:p w14:paraId="6D982A5E" w14:textId="77777777" w:rsidR="008123ED" w:rsidRDefault="00F33474" w:rsidP="00F33474">
      <w:pPr>
        <w:spacing w:before="100" w:beforeAutospacing="1" w:after="100" w:afterAutospacing="1" w:line="240" w:lineRule="auto"/>
        <w:rPr>
          <w:rFonts w:eastAsia="Times New Roman" w:cs="Times New Roman"/>
          <w:sz w:val="24"/>
          <w:szCs w:val="24"/>
          <w:lang w:val="en-US"/>
        </w:rPr>
      </w:pPr>
      <w:r w:rsidRPr="00F33474">
        <w:rPr>
          <w:rFonts w:eastAsia="Times New Roman" w:cs="Times New Roman"/>
          <w:sz w:val="24"/>
          <w:szCs w:val="24"/>
          <w:lang w:val="en-US"/>
        </w:rPr>
        <w:t xml:space="preserve">This community-based workshop explored innovative ways to teach Indigenous languages by inviting elders and youth into a shared circle traditionally reserved for adults. </w:t>
      </w:r>
      <w:r w:rsidR="00CB0BFB">
        <w:rPr>
          <w:rFonts w:eastAsia="Times New Roman" w:cs="Times New Roman"/>
          <w:sz w:val="24"/>
          <w:szCs w:val="24"/>
          <w:lang w:val="en-US"/>
        </w:rPr>
        <w:t>The researcher</w:t>
      </w:r>
      <w:r w:rsidRPr="00F33474">
        <w:rPr>
          <w:rFonts w:eastAsia="Times New Roman" w:cs="Times New Roman"/>
          <w:sz w:val="24"/>
          <w:szCs w:val="24"/>
          <w:lang w:val="en-US"/>
        </w:rPr>
        <w:t xml:space="preserve"> brought </w:t>
      </w:r>
      <w:r w:rsidR="00CB0BFB">
        <w:rPr>
          <w:rFonts w:eastAsia="Times New Roman" w:cs="Times New Roman"/>
          <w:sz w:val="24"/>
          <w:szCs w:val="24"/>
          <w:lang w:val="en-US"/>
        </w:rPr>
        <w:t xml:space="preserve">student made </w:t>
      </w:r>
      <w:r w:rsidRPr="00F33474">
        <w:rPr>
          <w:rFonts w:eastAsia="Times New Roman" w:cs="Times New Roman"/>
          <w:sz w:val="24"/>
          <w:szCs w:val="24"/>
          <w:lang w:val="en-US"/>
        </w:rPr>
        <w:t>hand-drawn images of local biodiversity and used them to ask elders about names, meanings, and associated cultural stories. Elders from two different language groups participated, allowing for comparison of linguistic forms and cultural interpretations.</w:t>
      </w:r>
    </w:p>
    <w:p w14:paraId="2A44BA56" w14:textId="77777777" w:rsidR="007934AB" w:rsidRDefault="00F33474" w:rsidP="007934AB">
      <w:pPr>
        <w:spacing w:before="100" w:beforeAutospacing="1" w:after="100" w:afterAutospacing="1" w:line="240" w:lineRule="auto"/>
        <w:rPr>
          <w:rFonts w:eastAsia="Times New Roman" w:cs="Times New Roman"/>
          <w:sz w:val="24"/>
          <w:szCs w:val="24"/>
          <w:lang w:val="en-US"/>
        </w:rPr>
      </w:pPr>
      <w:r w:rsidRPr="00F33474">
        <w:rPr>
          <w:rFonts w:eastAsia="Times New Roman" w:cs="Times New Roman"/>
          <w:sz w:val="24"/>
          <w:szCs w:val="24"/>
          <w:lang w:val="en-US"/>
        </w:rPr>
        <w:br/>
      </w:r>
      <w:r w:rsidRPr="00F33474">
        <w:rPr>
          <w:rFonts w:eastAsia="Times New Roman" w:cs="Times New Roman"/>
          <w:b/>
          <w:bCs/>
          <w:sz w:val="24"/>
          <w:szCs w:val="24"/>
          <w:lang w:val="en-US"/>
        </w:rPr>
        <w:t>Learning outcomes:</w:t>
      </w:r>
      <w:r w:rsidRPr="00F33474">
        <w:rPr>
          <w:rFonts w:eastAsia="Times New Roman" w:cs="Times New Roman"/>
          <w:sz w:val="24"/>
          <w:szCs w:val="24"/>
          <w:lang w:val="en-US"/>
        </w:rPr>
        <w:br/>
        <w:t>– Use of student artwork as a tool for language teaching and intercultural dialogue</w:t>
      </w:r>
      <w:r w:rsidRPr="00F33474">
        <w:rPr>
          <w:rFonts w:eastAsia="Times New Roman" w:cs="Times New Roman"/>
          <w:sz w:val="24"/>
          <w:szCs w:val="24"/>
          <w:lang w:val="en-US"/>
        </w:rPr>
        <w:br/>
        <w:t>– Strengthening of intergenerational learning spaces</w:t>
      </w:r>
      <w:r w:rsidRPr="00F33474">
        <w:rPr>
          <w:rFonts w:eastAsia="Times New Roman" w:cs="Times New Roman"/>
          <w:sz w:val="24"/>
          <w:szCs w:val="24"/>
          <w:lang w:val="en-US"/>
        </w:rPr>
        <w:br/>
        <w:t>– Exposure to linguistic diversity and comparisons across Indigenous languages</w:t>
      </w:r>
    </w:p>
    <w:p w14:paraId="6DBE8F76" w14:textId="785D3199" w:rsidR="00F33474" w:rsidRPr="007934AB" w:rsidRDefault="00A85644" w:rsidP="007934AB">
      <w:pPr>
        <w:spacing w:before="100" w:beforeAutospacing="1" w:after="100" w:afterAutospacing="1" w:line="240" w:lineRule="auto"/>
        <w:rPr>
          <w:rFonts w:eastAsia="Times New Roman" w:cs="Times New Roman"/>
          <w:sz w:val="24"/>
          <w:szCs w:val="24"/>
          <w:lang w:val="en-US"/>
        </w:rPr>
      </w:pPr>
      <w:r>
        <w:rPr>
          <w:rFonts w:eastAsia="Times New Roman" w:cs="Times New Roman"/>
          <w:noProof/>
          <w:sz w:val="24"/>
          <w:szCs w:val="24"/>
          <w:lang w:val="en-US"/>
        </w:rPr>
        <w:drawing>
          <wp:anchor distT="0" distB="0" distL="114300" distR="114300" simplePos="0" relativeHeight="251660288" behindDoc="0" locked="0" layoutInCell="1" allowOverlap="1" wp14:anchorId="19FFA8B0" wp14:editId="4D46A9BB">
            <wp:simplePos x="0" y="0"/>
            <wp:positionH relativeFrom="column">
              <wp:posOffset>-436880</wp:posOffset>
            </wp:positionH>
            <wp:positionV relativeFrom="paragraph">
              <wp:posOffset>364490</wp:posOffset>
            </wp:positionV>
            <wp:extent cx="3682365" cy="1981200"/>
            <wp:effectExtent l="0" t="0" r="0" b="0"/>
            <wp:wrapSquare wrapText="bothSides"/>
            <wp:docPr id="705296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60" r="14036"/>
                    <a:stretch>
                      <a:fillRect/>
                    </a:stretch>
                  </pic:blipFill>
                  <pic:spPr bwMode="auto">
                    <a:xfrm>
                      <a:off x="0" y="0"/>
                      <a:ext cx="368236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474" w:rsidRPr="00F33474">
        <w:rPr>
          <w:rFonts w:eastAsia="Times New Roman" w:cs="Times New Roman"/>
          <w:b/>
          <w:bCs/>
          <w:sz w:val="24"/>
          <w:szCs w:val="24"/>
          <w:lang w:val="en-US"/>
        </w:rPr>
        <w:t>Activity 5. Filming Educational Media with Visiting Researchers</w:t>
      </w:r>
    </w:p>
    <w:p w14:paraId="511E5324" w14:textId="0B6FE4B8" w:rsidR="008123ED" w:rsidRDefault="00F33474" w:rsidP="00F33474">
      <w:pPr>
        <w:spacing w:before="100" w:beforeAutospacing="1" w:after="100" w:afterAutospacing="1" w:line="240" w:lineRule="auto"/>
        <w:rPr>
          <w:rFonts w:eastAsia="Times New Roman" w:cs="Times New Roman"/>
          <w:b/>
          <w:bCs/>
          <w:sz w:val="24"/>
          <w:szCs w:val="24"/>
          <w:lang w:val="en-US"/>
        </w:rPr>
      </w:pPr>
      <w:r w:rsidRPr="00F33474">
        <w:rPr>
          <w:rFonts w:eastAsia="Times New Roman" w:cs="Times New Roman"/>
          <w:sz w:val="24"/>
          <w:szCs w:val="24"/>
          <w:lang w:val="en-US"/>
        </w:rPr>
        <w:t>During a visit from a botanist</w:t>
      </w:r>
      <w:r w:rsidR="007934AB">
        <w:rPr>
          <w:rFonts w:eastAsia="Times New Roman" w:cs="Times New Roman"/>
          <w:sz w:val="24"/>
          <w:szCs w:val="24"/>
          <w:lang w:val="en-US"/>
        </w:rPr>
        <w:t xml:space="preserve"> from Sinchi Institute</w:t>
      </w:r>
      <w:r w:rsidRPr="00F33474">
        <w:rPr>
          <w:rFonts w:eastAsia="Times New Roman" w:cs="Times New Roman"/>
          <w:sz w:val="24"/>
          <w:szCs w:val="24"/>
          <w:lang w:val="en-US"/>
        </w:rPr>
        <w:t>, teachers and students participated in the filming of short educational videos explaining the origins of the floodplain forest and discussing scientific and Indigenous explanations of ecological processes. The session emphasized the integration of the scientific method with Indigenous knowledge systems as complementary ways of knowing.</w:t>
      </w:r>
      <w:r w:rsidRPr="00F33474">
        <w:rPr>
          <w:rFonts w:eastAsia="Times New Roman" w:cs="Times New Roman"/>
          <w:sz w:val="24"/>
          <w:szCs w:val="24"/>
          <w:lang w:val="en-US"/>
        </w:rPr>
        <w:br/>
      </w:r>
    </w:p>
    <w:p w14:paraId="4292940F" w14:textId="7A029BC2" w:rsidR="00F33474" w:rsidRPr="00F33474" w:rsidRDefault="00F33474" w:rsidP="00F33474">
      <w:pPr>
        <w:spacing w:before="100" w:beforeAutospacing="1" w:after="100" w:afterAutospacing="1" w:line="240" w:lineRule="auto"/>
        <w:rPr>
          <w:rFonts w:eastAsia="Times New Roman" w:cs="Times New Roman"/>
          <w:sz w:val="24"/>
          <w:szCs w:val="24"/>
          <w:lang w:val="en-US"/>
        </w:rPr>
      </w:pPr>
      <w:r w:rsidRPr="00F33474">
        <w:rPr>
          <w:rFonts w:eastAsia="Times New Roman" w:cs="Times New Roman"/>
          <w:b/>
          <w:bCs/>
          <w:sz w:val="24"/>
          <w:szCs w:val="24"/>
          <w:lang w:val="en-US"/>
        </w:rPr>
        <w:lastRenderedPageBreak/>
        <w:t>Learning outcomes:</w:t>
      </w:r>
      <w:r w:rsidRPr="00F33474">
        <w:rPr>
          <w:rFonts w:eastAsia="Times New Roman" w:cs="Times New Roman"/>
          <w:sz w:val="24"/>
          <w:szCs w:val="24"/>
          <w:lang w:val="en-US"/>
        </w:rPr>
        <w:br/>
        <w:t>– Early development of ideas for creating locally grounded educational materials</w:t>
      </w:r>
      <w:r w:rsidRPr="00F33474">
        <w:rPr>
          <w:rFonts w:eastAsia="Times New Roman" w:cs="Times New Roman"/>
          <w:sz w:val="24"/>
          <w:szCs w:val="24"/>
          <w:lang w:val="en-US"/>
        </w:rPr>
        <w:br/>
        <w:t>– Introduction to “Two-Eyed Seeing” approaches, combining scientific and Indigenous perspectives</w:t>
      </w:r>
      <w:r w:rsidRPr="00F33474">
        <w:rPr>
          <w:rFonts w:eastAsia="Times New Roman" w:cs="Times New Roman"/>
          <w:sz w:val="24"/>
          <w:szCs w:val="24"/>
          <w:lang w:val="en-US"/>
        </w:rPr>
        <w:br/>
        <w:t>– Strengthening teacher capacity to contextualize science concepts within local ecological knowledge</w:t>
      </w:r>
    </w:p>
    <w:p w14:paraId="2CC31579" w14:textId="77777777" w:rsidR="0095528B" w:rsidRPr="0095528B" w:rsidRDefault="0095528B" w:rsidP="0095528B">
      <w:pPr>
        <w:spacing w:before="100" w:beforeAutospacing="1" w:after="100" w:afterAutospacing="1" w:line="240" w:lineRule="auto"/>
        <w:outlineLvl w:val="2"/>
        <w:rPr>
          <w:rFonts w:eastAsia="Times New Roman" w:cs="Times New Roman"/>
          <w:b/>
          <w:bCs/>
          <w:sz w:val="24"/>
          <w:szCs w:val="24"/>
          <w:lang w:val="en-US"/>
        </w:rPr>
      </w:pPr>
      <w:r w:rsidRPr="0095528B">
        <w:rPr>
          <w:rFonts w:eastAsia="Times New Roman" w:cs="Times New Roman"/>
          <w:b/>
          <w:bCs/>
          <w:sz w:val="24"/>
          <w:szCs w:val="24"/>
          <w:lang w:val="en-US"/>
        </w:rPr>
        <w:t>Activity 6. Student Biodiversity Drawing Showcase (Grades 3–11)</w:t>
      </w:r>
    </w:p>
    <w:p w14:paraId="2A455593" w14:textId="77777777" w:rsidR="008123ED" w:rsidRDefault="0095528B" w:rsidP="0095528B">
      <w:pPr>
        <w:spacing w:before="100" w:beforeAutospacing="1" w:after="100" w:afterAutospacing="1" w:line="240" w:lineRule="auto"/>
        <w:rPr>
          <w:rFonts w:eastAsia="Times New Roman" w:cs="Times New Roman"/>
          <w:sz w:val="24"/>
          <w:szCs w:val="24"/>
          <w:lang w:val="en-US"/>
        </w:rPr>
      </w:pPr>
      <w:r w:rsidRPr="0095528B">
        <w:rPr>
          <w:rFonts w:eastAsia="Times New Roman" w:cs="Times New Roman"/>
          <w:sz w:val="24"/>
          <w:szCs w:val="24"/>
          <w:lang w:val="en-US"/>
        </w:rPr>
        <w:t>A school-wide exhibition was organized to display biodiversity drawings created by students in grades 3–5 and 6–11. The showcase was set up in a multipurpose space typically used for teacher lunches and meetings. Because upper-grade students were temporarily sharing the elementary school facilities due to recent flooding, the exhibition was accessible to students from all grade levels throughout the day. The drawings—produced as part of the research on using media to support learning about biodiversity—were displayed to invite interpretation and dialogue. Teachers, students, and school staff interacted with the artwork, sharing their perceptions with the researcher and with one another.</w:t>
      </w:r>
    </w:p>
    <w:p w14:paraId="531B97B3" w14:textId="577A51D0" w:rsidR="0095528B" w:rsidRPr="0095528B" w:rsidRDefault="0095528B" w:rsidP="0095528B">
      <w:pPr>
        <w:spacing w:before="100" w:beforeAutospacing="1" w:after="100" w:afterAutospacing="1" w:line="240" w:lineRule="auto"/>
        <w:rPr>
          <w:rFonts w:eastAsia="Times New Roman" w:cs="Times New Roman"/>
          <w:sz w:val="24"/>
          <w:szCs w:val="24"/>
          <w:lang w:val="en-US"/>
        </w:rPr>
      </w:pPr>
      <w:r w:rsidRPr="0095528B">
        <w:rPr>
          <w:rFonts w:eastAsia="Times New Roman" w:cs="Times New Roman"/>
          <w:sz w:val="24"/>
          <w:szCs w:val="24"/>
          <w:lang w:val="en-US"/>
        </w:rPr>
        <w:br/>
      </w:r>
      <w:r w:rsidRPr="0095528B">
        <w:rPr>
          <w:rFonts w:eastAsia="Times New Roman" w:cs="Times New Roman"/>
          <w:b/>
          <w:bCs/>
          <w:sz w:val="24"/>
          <w:szCs w:val="24"/>
          <w:lang w:val="en-US"/>
        </w:rPr>
        <w:t>Learning outcomes:</w:t>
      </w:r>
      <w:r w:rsidRPr="0095528B">
        <w:rPr>
          <w:rFonts w:eastAsia="Times New Roman" w:cs="Times New Roman"/>
          <w:sz w:val="24"/>
          <w:szCs w:val="24"/>
          <w:lang w:val="en-US"/>
        </w:rPr>
        <w:br/>
        <w:t>– Students saw how their artwork contributed to collective research and learning process</w:t>
      </w:r>
      <w:r w:rsidRPr="0095528B">
        <w:rPr>
          <w:rFonts w:eastAsia="Times New Roman" w:cs="Times New Roman"/>
          <w:sz w:val="24"/>
          <w:szCs w:val="24"/>
          <w:lang w:val="en-US"/>
        </w:rPr>
        <w:br/>
        <w:t>– Teachers reflected on student perspectives and artistic representations of biodiversity</w:t>
      </w:r>
      <w:r w:rsidRPr="0095528B">
        <w:rPr>
          <w:rFonts w:eastAsia="Times New Roman" w:cs="Times New Roman"/>
          <w:sz w:val="24"/>
          <w:szCs w:val="24"/>
          <w:lang w:val="en-US"/>
        </w:rPr>
        <w:br/>
        <w:t>– Community members engaged with the exhibition, strengthening visibility and appreciation of youth contributions</w:t>
      </w:r>
    </w:p>
    <w:p w14:paraId="36C86CBA" w14:textId="1E988567" w:rsidR="00886027" w:rsidRDefault="007E3B16" w:rsidP="000C6278">
      <w:pPr>
        <w:spacing w:line="240" w:lineRule="auto"/>
        <w:rPr>
          <w:rFonts w:eastAsia="Times New Roman"/>
          <w:b/>
          <w:bCs/>
          <w:sz w:val="24"/>
          <w:szCs w:val="24"/>
          <w:lang w:val="en-US"/>
        </w:rPr>
      </w:pPr>
      <w:r>
        <w:rPr>
          <w:rFonts w:eastAsia="Times New Roman" w:cs="Times New Roman"/>
          <w:noProof/>
          <w:sz w:val="24"/>
          <w:szCs w:val="24"/>
          <w:lang w:val="en-US"/>
        </w:rPr>
        <w:drawing>
          <wp:inline distT="0" distB="0" distL="0" distR="0" wp14:anchorId="145D9B66" wp14:editId="55E5F95C">
            <wp:extent cx="2735249" cy="1531623"/>
            <wp:effectExtent l="0" t="0" r="8255" b="0"/>
            <wp:docPr id="393675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1" cy="1546743"/>
                    </a:xfrm>
                    <a:prstGeom prst="rect">
                      <a:avLst/>
                    </a:prstGeom>
                    <a:noFill/>
                    <a:ln>
                      <a:noFill/>
                    </a:ln>
                  </pic:spPr>
                </pic:pic>
              </a:graphicData>
            </a:graphic>
          </wp:inline>
        </w:drawing>
      </w:r>
      <w:r>
        <w:rPr>
          <w:rFonts w:eastAsia="Times New Roman"/>
          <w:b/>
          <w:bCs/>
          <w:noProof/>
          <w:sz w:val="24"/>
          <w:szCs w:val="24"/>
          <w:lang w:val="en-US"/>
        </w:rPr>
        <w:drawing>
          <wp:inline distT="0" distB="0" distL="0" distR="0" wp14:anchorId="3ACE22BC" wp14:editId="79C6ACF4">
            <wp:extent cx="2870200" cy="1531797"/>
            <wp:effectExtent l="0" t="0" r="6350" b="0"/>
            <wp:docPr id="27429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752" cy="1544366"/>
                    </a:xfrm>
                    <a:prstGeom prst="rect">
                      <a:avLst/>
                    </a:prstGeom>
                    <a:noFill/>
                    <a:ln>
                      <a:noFill/>
                    </a:ln>
                  </pic:spPr>
                </pic:pic>
              </a:graphicData>
            </a:graphic>
          </wp:inline>
        </w:drawing>
      </w:r>
    </w:p>
    <w:p w14:paraId="1AC4D727" w14:textId="77777777" w:rsidR="007E3B16" w:rsidRDefault="007E3B16" w:rsidP="000C6278">
      <w:pPr>
        <w:spacing w:line="240" w:lineRule="auto"/>
        <w:rPr>
          <w:rFonts w:eastAsia="Times New Roman"/>
          <w:b/>
          <w:bCs/>
          <w:sz w:val="24"/>
          <w:szCs w:val="24"/>
          <w:lang w:val="en-US"/>
        </w:rPr>
      </w:pPr>
    </w:p>
    <w:p w14:paraId="760A68BA" w14:textId="7EA7840F" w:rsidR="007E3B16" w:rsidRDefault="007E3B16" w:rsidP="000C6278">
      <w:pPr>
        <w:spacing w:line="240" w:lineRule="auto"/>
        <w:rPr>
          <w:rFonts w:eastAsia="Times New Roman"/>
          <w:b/>
          <w:bCs/>
          <w:sz w:val="24"/>
          <w:szCs w:val="24"/>
          <w:lang w:val="en-US"/>
        </w:rPr>
      </w:pPr>
      <w:r>
        <w:rPr>
          <w:rFonts w:eastAsia="Times New Roman"/>
          <w:b/>
          <w:bCs/>
          <w:noProof/>
          <w:sz w:val="24"/>
          <w:szCs w:val="24"/>
          <w:lang w:val="en-US"/>
        </w:rPr>
        <w:drawing>
          <wp:inline distT="0" distB="0" distL="0" distR="0" wp14:anchorId="342DD9C6" wp14:editId="1CB8D4C1">
            <wp:extent cx="2723209" cy="1445978"/>
            <wp:effectExtent l="0" t="0" r="1270" b="1905"/>
            <wp:docPr id="9442199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009" cy="1460208"/>
                    </a:xfrm>
                    <a:prstGeom prst="rect">
                      <a:avLst/>
                    </a:prstGeom>
                    <a:noFill/>
                    <a:ln>
                      <a:noFill/>
                    </a:ln>
                  </pic:spPr>
                </pic:pic>
              </a:graphicData>
            </a:graphic>
          </wp:inline>
        </w:drawing>
      </w:r>
      <w:r>
        <w:rPr>
          <w:rFonts w:eastAsia="Times New Roman"/>
          <w:b/>
          <w:bCs/>
          <w:noProof/>
          <w:sz w:val="24"/>
          <w:szCs w:val="24"/>
          <w:lang w:val="en-US"/>
        </w:rPr>
        <w:drawing>
          <wp:inline distT="0" distB="0" distL="0" distR="0" wp14:anchorId="471C9B86" wp14:editId="4751806E">
            <wp:extent cx="2727159" cy="1471384"/>
            <wp:effectExtent l="0" t="0" r="0" b="0"/>
            <wp:docPr id="1947403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409" cy="1497416"/>
                    </a:xfrm>
                    <a:prstGeom prst="rect">
                      <a:avLst/>
                    </a:prstGeom>
                    <a:noFill/>
                    <a:ln>
                      <a:noFill/>
                    </a:ln>
                  </pic:spPr>
                </pic:pic>
              </a:graphicData>
            </a:graphic>
          </wp:inline>
        </w:drawing>
      </w:r>
    </w:p>
    <w:p w14:paraId="0DCB3233" w14:textId="77777777" w:rsidR="007E3B16" w:rsidRPr="00F33474" w:rsidRDefault="007E3B16" w:rsidP="000C6278">
      <w:pPr>
        <w:spacing w:line="240" w:lineRule="auto"/>
        <w:rPr>
          <w:rFonts w:eastAsia="Times New Roman"/>
          <w:b/>
          <w:bCs/>
          <w:sz w:val="24"/>
          <w:szCs w:val="24"/>
          <w:lang w:val="en-US"/>
        </w:rPr>
      </w:pPr>
    </w:p>
    <w:p w14:paraId="19B4E9E4" w14:textId="77777777" w:rsidR="007C51CA" w:rsidRPr="007C51CA" w:rsidRDefault="007C51CA" w:rsidP="007C51CA">
      <w:pPr>
        <w:spacing w:line="240" w:lineRule="auto"/>
        <w:rPr>
          <w:rFonts w:eastAsia="Times New Roman"/>
          <w:b/>
          <w:bCs/>
          <w:sz w:val="24"/>
          <w:szCs w:val="24"/>
          <w:lang w:val="en-US"/>
        </w:rPr>
      </w:pPr>
      <w:r w:rsidRPr="007C51CA">
        <w:rPr>
          <w:rFonts w:eastAsia="Times New Roman"/>
          <w:b/>
          <w:bCs/>
          <w:sz w:val="24"/>
          <w:szCs w:val="24"/>
          <w:lang w:val="en-US"/>
        </w:rPr>
        <w:t>Final Remarks and Future Steps</w:t>
      </w:r>
    </w:p>
    <w:p w14:paraId="4C7D97AF" w14:textId="478E03EE" w:rsidR="007C51CA" w:rsidRPr="007C51CA" w:rsidRDefault="007C51CA" w:rsidP="007C51CA">
      <w:pPr>
        <w:spacing w:line="240" w:lineRule="auto"/>
        <w:rPr>
          <w:rFonts w:eastAsia="Times New Roman"/>
          <w:sz w:val="24"/>
          <w:szCs w:val="24"/>
          <w:lang w:val="en-US"/>
        </w:rPr>
      </w:pPr>
      <w:r w:rsidRPr="007C51CA">
        <w:rPr>
          <w:rFonts w:eastAsia="Times New Roman"/>
          <w:sz w:val="24"/>
          <w:szCs w:val="24"/>
          <w:lang w:val="en-US"/>
        </w:rPr>
        <w:t>The practicum activities demonstrated the growing commitment of teachers, students, and community members to co-design a culturally grounded science and environmental education that reflects the ecological and cultural realities of the territory. Through workshops centered on observing the flood forest, documenting biodiversity with camera traps, exploring insect behavior, and connecting weather patterns with fruiting cycles and pollination, teachers began to integrate local ecological processes into meaningful classroom practices. Drawing, binocular-based observation, and multimodal media approaches helped students and teachers experiment with new ways of noticing and interpreting the environment, while also creating entry points for discussing Traditional Ecological Knowledge (TEK) in school-based learning.</w:t>
      </w:r>
    </w:p>
    <w:p w14:paraId="0930F5D6" w14:textId="77777777" w:rsidR="007C51CA" w:rsidRPr="007C51CA" w:rsidRDefault="007C51CA" w:rsidP="007C51CA">
      <w:pPr>
        <w:spacing w:line="240" w:lineRule="auto"/>
        <w:rPr>
          <w:rFonts w:eastAsia="Times New Roman"/>
          <w:sz w:val="24"/>
          <w:szCs w:val="24"/>
          <w:lang w:val="en-US"/>
        </w:rPr>
      </w:pPr>
      <w:r w:rsidRPr="007C51CA">
        <w:rPr>
          <w:rFonts w:eastAsia="Times New Roman"/>
          <w:sz w:val="24"/>
          <w:szCs w:val="24"/>
          <w:lang w:val="en-US"/>
        </w:rPr>
        <w:t>These activities marked an important shift toward teachers’ growing confidence as co-designers of their own curriculum. Their engagement in lesson planning, field-based inquiry, language revitalization practices, and AI-supported pedagogical design indicates the emergence of a collaborative culture that values both scientific and Indigenous ways of knowing. The participation of elders, youth, and regional researchers further enriched this process, strengthening the links between school learning, community knowledge, and territorial stewardship.</w:t>
      </w:r>
    </w:p>
    <w:p w14:paraId="3653BD61" w14:textId="3065CF86" w:rsidR="007C51CA" w:rsidRPr="007C51CA" w:rsidRDefault="007C51CA" w:rsidP="007C51CA">
      <w:pPr>
        <w:spacing w:line="240" w:lineRule="auto"/>
        <w:rPr>
          <w:rFonts w:eastAsia="Times New Roman"/>
          <w:sz w:val="24"/>
          <w:szCs w:val="24"/>
          <w:lang w:val="en-US"/>
        </w:rPr>
      </w:pPr>
      <w:r w:rsidRPr="007C51CA">
        <w:rPr>
          <w:rFonts w:eastAsia="Times New Roman"/>
          <w:sz w:val="24"/>
          <w:szCs w:val="24"/>
          <w:lang w:val="en-US"/>
        </w:rPr>
        <w:t xml:space="preserve">Looking ahead, </w:t>
      </w:r>
      <w:r>
        <w:rPr>
          <w:rFonts w:eastAsia="Times New Roman"/>
          <w:sz w:val="24"/>
          <w:szCs w:val="24"/>
          <w:lang w:val="en-US"/>
        </w:rPr>
        <w:t xml:space="preserve">this research will continue </w:t>
      </w:r>
      <w:r w:rsidRPr="007C51CA">
        <w:rPr>
          <w:rFonts w:eastAsia="Times New Roman"/>
          <w:sz w:val="24"/>
          <w:szCs w:val="24"/>
          <w:lang w:val="en-US"/>
        </w:rPr>
        <w:t>deepen this collaborative work by supporting teachers in exploring the flood forest, medicinal gardens, schoolyard ecosystems, and other culturally meaningful spaces as learning sites. Future steps include co-developing learning modules focused on insect observation, pollination processes, fruiting cycles of key trees, and biocultural indicators that reflect the community’s understanding of environmental change. Mapping the school and surrounding ecosystems will allow teachers and students to visualize the places they study, identify seasonal patterns, and formulate research questions connected to TEK.</w:t>
      </w:r>
    </w:p>
    <w:p w14:paraId="4594F347" w14:textId="77777777" w:rsidR="007C51CA" w:rsidRPr="007C51CA" w:rsidRDefault="007C51CA" w:rsidP="007C51CA">
      <w:pPr>
        <w:spacing w:line="240" w:lineRule="auto"/>
        <w:rPr>
          <w:rFonts w:eastAsia="Times New Roman"/>
          <w:sz w:val="24"/>
          <w:szCs w:val="24"/>
          <w:lang w:val="en-US"/>
        </w:rPr>
      </w:pPr>
      <w:r w:rsidRPr="007C51CA">
        <w:rPr>
          <w:rFonts w:eastAsia="Times New Roman"/>
          <w:sz w:val="24"/>
          <w:szCs w:val="24"/>
          <w:lang w:val="en-US"/>
        </w:rPr>
        <w:t>Youth will be further empowered as co-researchers by participating in ongoing biodiversity monitoring, documenting weather–ecosystem relationships, and contributing drawings, videos, photos, and sound recordings to collective inquiry cycles. Likewise, teachers will continue strengthening their role as curriculum designers, integrating participatory science, Indigenous knowledge, and place-based pedagogies into structured units that can be sustained over time.</w:t>
      </w:r>
    </w:p>
    <w:p w14:paraId="38F15D92" w14:textId="1E9F6A8E" w:rsidR="008123ED" w:rsidRPr="007C51CA" w:rsidRDefault="007C51CA" w:rsidP="007C51CA">
      <w:pPr>
        <w:spacing w:line="240" w:lineRule="auto"/>
        <w:rPr>
          <w:rFonts w:eastAsia="Times New Roman"/>
          <w:sz w:val="24"/>
          <w:szCs w:val="24"/>
          <w:lang w:val="en-US"/>
        </w:rPr>
      </w:pPr>
      <w:r w:rsidRPr="007C51CA">
        <w:rPr>
          <w:rFonts w:eastAsia="Times New Roman"/>
          <w:sz w:val="24"/>
          <w:szCs w:val="24"/>
          <w:lang w:val="en-US"/>
        </w:rPr>
        <w:t>Together, these future steps advance the broader goal of creating a school program that bridges formal science education with the community’s ecological and cultural knowledge systems</w:t>
      </w:r>
      <w:r w:rsidR="00472AB8">
        <w:rPr>
          <w:rFonts w:eastAsia="Times New Roman"/>
          <w:sz w:val="24"/>
          <w:szCs w:val="24"/>
          <w:lang w:val="en-US"/>
        </w:rPr>
        <w:t xml:space="preserve">, </w:t>
      </w:r>
      <w:r w:rsidRPr="007C51CA">
        <w:rPr>
          <w:rFonts w:eastAsia="Times New Roman"/>
          <w:sz w:val="24"/>
          <w:szCs w:val="24"/>
          <w:lang w:val="en-US"/>
        </w:rPr>
        <w:t>cultivating the next generation of Indigenous researchers, caretakers, and decision-makers for the territory.</w:t>
      </w:r>
    </w:p>
    <w:p w14:paraId="72B69CA9" w14:textId="77777777" w:rsidR="00B37DFE" w:rsidRDefault="00B37DFE" w:rsidP="002A17D9">
      <w:pPr>
        <w:spacing w:line="240" w:lineRule="auto"/>
        <w:rPr>
          <w:rFonts w:eastAsia="Times New Roman"/>
          <w:b/>
          <w:bCs/>
          <w:sz w:val="24"/>
          <w:szCs w:val="24"/>
          <w:lang w:val="en-US"/>
        </w:rPr>
      </w:pPr>
    </w:p>
    <w:p w14:paraId="6B9E6867" w14:textId="77777777" w:rsidR="00B37DFE" w:rsidRDefault="00B37DFE" w:rsidP="002A17D9">
      <w:pPr>
        <w:spacing w:line="240" w:lineRule="auto"/>
        <w:rPr>
          <w:rFonts w:eastAsia="Times New Roman"/>
          <w:b/>
          <w:bCs/>
          <w:sz w:val="24"/>
          <w:szCs w:val="24"/>
          <w:lang w:val="en-US"/>
        </w:rPr>
      </w:pPr>
    </w:p>
    <w:p w14:paraId="7FCCECD5" w14:textId="62A4E97E" w:rsidR="002A17D9" w:rsidRPr="002A17D9" w:rsidRDefault="002A17D9" w:rsidP="002A17D9">
      <w:pPr>
        <w:spacing w:line="240" w:lineRule="auto"/>
        <w:rPr>
          <w:rFonts w:eastAsia="Times New Roman"/>
          <w:b/>
          <w:bCs/>
          <w:sz w:val="24"/>
          <w:szCs w:val="24"/>
          <w:lang w:val="en-US"/>
        </w:rPr>
      </w:pPr>
      <w:r w:rsidRPr="002A17D9">
        <w:rPr>
          <w:rFonts w:eastAsia="Times New Roman"/>
          <w:b/>
          <w:bCs/>
          <w:sz w:val="24"/>
          <w:szCs w:val="24"/>
          <w:lang w:val="en-US"/>
        </w:rPr>
        <w:lastRenderedPageBreak/>
        <w:t>References</w:t>
      </w:r>
    </w:p>
    <w:p w14:paraId="07D0C5B6" w14:textId="4CF315E6" w:rsidR="002A17D9" w:rsidRDefault="002A17D9" w:rsidP="002A17D9">
      <w:pPr>
        <w:spacing w:line="240" w:lineRule="auto"/>
        <w:rPr>
          <w:rFonts w:eastAsia="Times New Roman"/>
          <w:sz w:val="24"/>
          <w:szCs w:val="24"/>
        </w:rPr>
      </w:pPr>
      <w:r w:rsidRPr="002A17D9">
        <w:rPr>
          <w:rFonts w:eastAsia="Times New Roman"/>
          <w:sz w:val="24"/>
          <w:szCs w:val="24"/>
        </w:rPr>
        <w:t xml:space="preserve">Abas, A., Aziz, A., &amp; Awang, A. (2022). A systematic review on the local wisdom of Indigenous people in nature conservation. </w:t>
      </w:r>
      <w:r w:rsidRPr="002A17D9">
        <w:rPr>
          <w:rFonts w:eastAsia="Times New Roman"/>
          <w:i/>
          <w:iCs/>
          <w:sz w:val="24"/>
          <w:szCs w:val="24"/>
        </w:rPr>
        <w:t>Sustainability, 14</w:t>
      </w:r>
      <w:r w:rsidRPr="002A17D9">
        <w:rPr>
          <w:rFonts w:eastAsia="Times New Roman"/>
          <w:sz w:val="24"/>
          <w:szCs w:val="24"/>
        </w:rPr>
        <w:t xml:space="preserve">(6), Article 3415. </w:t>
      </w:r>
      <w:hyperlink r:id="rId21" w:history="1">
        <w:r w:rsidRPr="00D87646">
          <w:rPr>
            <w:rStyle w:val="Hyperlink"/>
            <w:rFonts w:eastAsia="Times New Roman"/>
            <w:sz w:val="24"/>
            <w:szCs w:val="24"/>
          </w:rPr>
          <w:t>https://doi.org/10.3390/su14063415</w:t>
        </w:r>
      </w:hyperlink>
    </w:p>
    <w:p w14:paraId="2617E58C" w14:textId="77777777" w:rsidR="002A17D9" w:rsidRDefault="002A17D9" w:rsidP="002A17D9">
      <w:pPr>
        <w:spacing w:line="240" w:lineRule="auto"/>
        <w:rPr>
          <w:rFonts w:eastAsia="Times New Roman"/>
          <w:sz w:val="24"/>
          <w:szCs w:val="24"/>
        </w:rPr>
      </w:pPr>
      <w:r w:rsidRPr="002A17D9">
        <w:rPr>
          <w:rFonts w:eastAsia="Times New Roman"/>
          <w:sz w:val="24"/>
          <w:szCs w:val="24"/>
        </w:rPr>
        <w:t xml:space="preserve">Aikenhead, G., &amp; Michell, H. (2011). </w:t>
      </w:r>
      <w:r w:rsidRPr="002A17D9">
        <w:rPr>
          <w:rFonts w:eastAsia="Times New Roman"/>
          <w:i/>
          <w:iCs/>
          <w:sz w:val="24"/>
          <w:szCs w:val="24"/>
        </w:rPr>
        <w:t>Bridging cultures: Scientific and Indigenous ways of knowing nature.</w:t>
      </w:r>
      <w:r w:rsidRPr="002A17D9">
        <w:rPr>
          <w:rFonts w:eastAsia="Times New Roman"/>
          <w:sz w:val="24"/>
          <w:szCs w:val="24"/>
        </w:rPr>
        <w:t xml:space="preserve"> Pearson Canada.</w:t>
      </w:r>
    </w:p>
    <w:p w14:paraId="373EEAE9" w14:textId="23D12FF3" w:rsidR="006F6567" w:rsidRPr="006F6567" w:rsidRDefault="006F6567" w:rsidP="002A17D9">
      <w:pPr>
        <w:spacing w:line="240" w:lineRule="auto"/>
        <w:rPr>
          <w:rFonts w:eastAsia="Times New Roman"/>
          <w:i/>
          <w:iCs/>
          <w:sz w:val="24"/>
          <w:szCs w:val="24"/>
        </w:rPr>
      </w:pPr>
      <w:r w:rsidRPr="006F6567">
        <w:rPr>
          <w:rFonts w:eastAsia="Times New Roman"/>
          <w:sz w:val="24"/>
          <w:szCs w:val="24"/>
        </w:rPr>
        <w:t>Athayde, S., Silva-Lugo, J., Schmink, M., &amp; Heckenberger, M. (2017). The same, but different: Indigenous knowledge retention, erosion, and innovation in the Brazilian Amazon. https://doi.org/10.1007/s10745-017-9930-0</w:t>
      </w:r>
      <w:r w:rsidRPr="006F6567">
        <w:rPr>
          <w:rFonts w:eastAsia="Times New Roman"/>
          <w:sz w:val="24"/>
          <w:szCs w:val="24"/>
          <w:lang w:val="en-US"/>
        </w:rPr>
        <w:t xml:space="preserve"> </w:t>
      </w:r>
    </w:p>
    <w:p w14:paraId="4391CCCC" w14:textId="6B8D93CE" w:rsidR="006F6567" w:rsidRDefault="006F6567" w:rsidP="002A17D9">
      <w:pPr>
        <w:spacing w:line="240" w:lineRule="auto"/>
        <w:rPr>
          <w:rFonts w:eastAsia="Times New Roman"/>
          <w:sz w:val="24"/>
          <w:szCs w:val="24"/>
        </w:rPr>
      </w:pPr>
      <w:r w:rsidRPr="006F6567">
        <w:rPr>
          <w:rFonts w:eastAsia="Times New Roman"/>
          <w:sz w:val="24"/>
          <w:szCs w:val="24"/>
        </w:rPr>
        <w:t xml:space="preserve">Bang, M., &amp; Medin, D. (2010). Cultural processes in science education: Supporting the navigation of multiple epistemologies. </w:t>
      </w:r>
      <w:r w:rsidRPr="006F6567">
        <w:rPr>
          <w:rFonts w:eastAsia="Times New Roman"/>
          <w:i/>
          <w:iCs/>
          <w:sz w:val="24"/>
          <w:szCs w:val="24"/>
        </w:rPr>
        <w:t>Science Education, 94</w:t>
      </w:r>
      <w:r w:rsidRPr="006F6567">
        <w:rPr>
          <w:rFonts w:eastAsia="Times New Roman"/>
          <w:sz w:val="24"/>
          <w:szCs w:val="24"/>
        </w:rPr>
        <w:t xml:space="preserve">(6), 1008–1026. </w:t>
      </w:r>
      <w:hyperlink r:id="rId22" w:history="1">
        <w:r w:rsidRPr="00D87646">
          <w:rPr>
            <w:rStyle w:val="Hyperlink"/>
            <w:rFonts w:eastAsia="Times New Roman"/>
            <w:sz w:val="24"/>
            <w:szCs w:val="24"/>
          </w:rPr>
          <w:t>https://doi.org/10.1002/sce.20392</w:t>
        </w:r>
      </w:hyperlink>
    </w:p>
    <w:p w14:paraId="7DFAEF09" w14:textId="77777777" w:rsidR="006F6567" w:rsidRDefault="006F6567" w:rsidP="002A17D9">
      <w:pPr>
        <w:spacing w:line="240" w:lineRule="auto"/>
        <w:rPr>
          <w:rFonts w:eastAsia="Times New Roman"/>
          <w:sz w:val="24"/>
          <w:szCs w:val="24"/>
        </w:rPr>
      </w:pPr>
      <w:r w:rsidRPr="006F6567">
        <w:rPr>
          <w:rFonts w:eastAsia="Times New Roman"/>
          <w:sz w:val="24"/>
          <w:szCs w:val="24"/>
        </w:rPr>
        <w:t xml:space="preserve">Battiste, M. (2013). </w:t>
      </w:r>
      <w:r w:rsidRPr="006F6567">
        <w:rPr>
          <w:rFonts w:eastAsia="Times New Roman"/>
          <w:i/>
          <w:iCs/>
          <w:sz w:val="24"/>
          <w:szCs w:val="24"/>
        </w:rPr>
        <w:t>Decolonizing education: Nourishing the learning spirit.</w:t>
      </w:r>
      <w:r w:rsidRPr="006F6567">
        <w:rPr>
          <w:rFonts w:eastAsia="Times New Roman"/>
          <w:sz w:val="24"/>
          <w:szCs w:val="24"/>
        </w:rPr>
        <w:t xml:space="preserve"> </w:t>
      </w:r>
      <w:proofErr w:type="spellStart"/>
      <w:r w:rsidRPr="006F6567">
        <w:rPr>
          <w:rFonts w:eastAsia="Times New Roman"/>
          <w:sz w:val="24"/>
          <w:szCs w:val="24"/>
        </w:rPr>
        <w:t>Purich</w:t>
      </w:r>
      <w:proofErr w:type="spellEnd"/>
      <w:r w:rsidRPr="006F6567">
        <w:rPr>
          <w:rFonts w:eastAsia="Times New Roman"/>
          <w:sz w:val="24"/>
          <w:szCs w:val="24"/>
        </w:rPr>
        <w:t xml:space="preserve"> Publishing.</w:t>
      </w:r>
    </w:p>
    <w:p w14:paraId="6B30F4E1" w14:textId="77777777" w:rsidR="006F6567" w:rsidRDefault="006F6567" w:rsidP="002A17D9">
      <w:pPr>
        <w:spacing w:line="240" w:lineRule="auto"/>
        <w:rPr>
          <w:rFonts w:eastAsia="Times New Roman"/>
          <w:sz w:val="24"/>
          <w:szCs w:val="24"/>
        </w:rPr>
      </w:pPr>
      <w:r w:rsidRPr="006F6567">
        <w:rPr>
          <w:rFonts w:eastAsia="Times New Roman"/>
          <w:sz w:val="24"/>
          <w:szCs w:val="24"/>
        </w:rPr>
        <w:t xml:space="preserve">Cajete, G. (2000). </w:t>
      </w:r>
      <w:r w:rsidRPr="006F6567">
        <w:rPr>
          <w:rFonts w:eastAsia="Times New Roman"/>
          <w:i/>
          <w:iCs/>
          <w:sz w:val="24"/>
          <w:szCs w:val="24"/>
        </w:rPr>
        <w:t>Native science: Natural laws of interdependence.</w:t>
      </w:r>
      <w:r w:rsidRPr="006F6567">
        <w:rPr>
          <w:rFonts w:eastAsia="Times New Roman"/>
          <w:sz w:val="24"/>
          <w:szCs w:val="24"/>
        </w:rPr>
        <w:t xml:space="preserve"> Clear Light Publishers.</w:t>
      </w:r>
    </w:p>
    <w:p w14:paraId="11AA1F46" w14:textId="77777777" w:rsidR="002A17D9" w:rsidRPr="002A17D9" w:rsidRDefault="002A17D9" w:rsidP="002A17D9">
      <w:pPr>
        <w:spacing w:line="240" w:lineRule="auto"/>
        <w:rPr>
          <w:rFonts w:eastAsia="Times New Roman"/>
          <w:sz w:val="24"/>
          <w:szCs w:val="24"/>
          <w:lang w:val="es-CO"/>
        </w:rPr>
      </w:pPr>
      <w:proofErr w:type="spellStart"/>
      <w:r w:rsidRPr="001D5441">
        <w:rPr>
          <w:rFonts w:eastAsia="Times New Roman"/>
          <w:sz w:val="24"/>
          <w:szCs w:val="24"/>
          <w:lang w:val="en-US"/>
        </w:rPr>
        <w:t>Haelewaters</w:t>
      </w:r>
      <w:proofErr w:type="spellEnd"/>
      <w:r w:rsidRPr="001D5441">
        <w:rPr>
          <w:rFonts w:eastAsia="Times New Roman"/>
          <w:sz w:val="24"/>
          <w:szCs w:val="24"/>
          <w:lang w:val="en-US"/>
        </w:rPr>
        <w:t xml:space="preserve">, D., Hofmann, T. A., &amp; Romero-Olivares, A. L. (2021). </w:t>
      </w:r>
      <w:r w:rsidRPr="002A17D9">
        <w:rPr>
          <w:rFonts w:eastAsia="Times New Roman"/>
          <w:sz w:val="24"/>
          <w:szCs w:val="24"/>
          <w:lang w:val="en-US"/>
        </w:rPr>
        <w:t xml:space="preserve">Ten simple rules for Global North researchers to stop perpetuating helicopter research in the Global South. </w:t>
      </w:r>
      <w:r w:rsidRPr="002A17D9">
        <w:rPr>
          <w:rFonts w:eastAsia="Times New Roman"/>
          <w:i/>
          <w:iCs/>
          <w:sz w:val="24"/>
          <w:szCs w:val="24"/>
          <w:lang w:val="es-CO"/>
        </w:rPr>
        <w:t>PLOS Computational Biology, 17</w:t>
      </w:r>
      <w:r w:rsidRPr="002A17D9">
        <w:rPr>
          <w:rFonts w:eastAsia="Times New Roman"/>
          <w:sz w:val="24"/>
          <w:szCs w:val="24"/>
          <w:lang w:val="es-CO"/>
        </w:rPr>
        <w:t>(8), e1009277. https://doi.org/10.1371/journal.pcbi.1009277</w:t>
      </w:r>
    </w:p>
    <w:p w14:paraId="467E80DE" w14:textId="6486AC23" w:rsidR="002A17D9" w:rsidRDefault="002A17D9" w:rsidP="002A17D9">
      <w:pPr>
        <w:spacing w:line="240" w:lineRule="auto"/>
        <w:rPr>
          <w:rFonts w:eastAsia="Times New Roman"/>
          <w:sz w:val="24"/>
          <w:szCs w:val="24"/>
          <w:lang w:val="en-US"/>
        </w:rPr>
      </w:pPr>
      <w:r w:rsidRPr="002A17D9">
        <w:rPr>
          <w:rFonts w:eastAsia="Times New Roman"/>
          <w:sz w:val="24"/>
          <w:szCs w:val="24"/>
          <w:lang w:val="es-CO"/>
        </w:rPr>
        <w:t xml:space="preserve">Hill, R., Nates-Parra, G., et al. </w:t>
      </w:r>
      <w:r w:rsidRPr="002A17D9">
        <w:rPr>
          <w:rFonts w:eastAsia="Times New Roman"/>
          <w:sz w:val="24"/>
          <w:szCs w:val="24"/>
          <w:lang w:val="en-US"/>
        </w:rPr>
        <w:t xml:space="preserve">(2020). Biocultural approaches to pollinator conservation. </w:t>
      </w:r>
      <w:r w:rsidRPr="002A17D9">
        <w:rPr>
          <w:rFonts w:eastAsia="Times New Roman"/>
          <w:i/>
          <w:iCs/>
          <w:sz w:val="24"/>
          <w:szCs w:val="24"/>
          <w:lang w:val="en-US"/>
        </w:rPr>
        <w:t>Nature Sustainability, 2</w:t>
      </w:r>
      <w:r w:rsidRPr="002A17D9">
        <w:rPr>
          <w:rFonts w:eastAsia="Times New Roman"/>
          <w:sz w:val="24"/>
          <w:szCs w:val="24"/>
          <w:lang w:val="en-US"/>
        </w:rPr>
        <w:t xml:space="preserve">, 214–222. </w:t>
      </w:r>
      <w:hyperlink r:id="rId23" w:history="1">
        <w:r w:rsidR="00BA5007" w:rsidRPr="002A17D9">
          <w:rPr>
            <w:rStyle w:val="Hyperlink"/>
            <w:rFonts w:eastAsia="Times New Roman"/>
            <w:sz w:val="24"/>
            <w:szCs w:val="24"/>
            <w:lang w:val="en-US"/>
          </w:rPr>
          <w:t>https://doi.org/10.1038/s41893-019-0244-z</w:t>
        </w:r>
      </w:hyperlink>
    </w:p>
    <w:p w14:paraId="21EF0766" w14:textId="6BB60E8C" w:rsidR="00BA5007" w:rsidRPr="002A17D9" w:rsidRDefault="00BA5007" w:rsidP="002A17D9">
      <w:pPr>
        <w:spacing w:line="240" w:lineRule="auto"/>
        <w:rPr>
          <w:rFonts w:eastAsia="Times New Roman"/>
          <w:sz w:val="24"/>
          <w:szCs w:val="24"/>
          <w:lang w:val="en-US"/>
        </w:rPr>
      </w:pPr>
      <w:r w:rsidRPr="002A17D9">
        <w:rPr>
          <w:rFonts w:eastAsia="Times New Roman"/>
          <w:sz w:val="24"/>
          <w:szCs w:val="24"/>
          <w:lang w:val="en-US"/>
        </w:rPr>
        <w:t xml:space="preserve">IPBES. (2019). </w:t>
      </w:r>
      <w:r w:rsidRPr="002A17D9">
        <w:rPr>
          <w:rFonts w:eastAsia="Times New Roman"/>
          <w:i/>
          <w:iCs/>
          <w:sz w:val="24"/>
          <w:szCs w:val="24"/>
          <w:lang w:val="en-US"/>
        </w:rPr>
        <w:t>Global assessment report on biodiversity and ecosystem services</w:t>
      </w:r>
      <w:r w:rsidRPr="002A17D9">
        <w:rPr>
          <w:rFonts w:eastAsia="Times New Roman"/>
          <w:sz w:val="24"/>
          <w:szCs w:val="24"/>
          <w:lang w:val="en-US"/>
        </w:rPr>
        <w:t>. Intergovernmental Science-Policy Platform on Biodiversity and Ecosystem Services.</w:t>
      </w:r>
    </w:p>
    <w:p w14:paraId="2C849F41" w14:textId="40AC3F46" w:rsidR="00BA5007" w:rsidRPr="00BA5007" w:rsidRDefault="00BA5007" w:rsidP="002A17D9">
      <w:pPr>
        <w:spacing w:line="240" w:lineRule="auto"/>
        <w:rPr>
          <w:rFonts w:eastAsia="Times New Roman"/>
          <w:sz w:val="24"/>
          <w:szCs w:val="24"/>
        </w:rPr>
      </w:pPr>
      <w:r w:rsidRPr="002A17D9">
        <w:rPr>
          <w:rFonts w:eastAsia="Times New Roman"/>
          <w:sz w:val="24"/>
          <w:szCs w:val="24"/>
        </w:rPr>
        <w:t xml:space="preserve">Latip, A., Hernani, &amp; Kadarohman, A. (2024). Local and Indigenous knowledge (LIK) in science learning: A systematic literature review. </w:t>
      </w:r>
      <w:r w:rsidRPr="002A17D9">
        <w:rPr>
          <w:rFonts w:eastAsia="Times New Roman"/>
          <w:i/>
          <w:iCs/>
          <w:sz w:val="24"/>
          <w:szCs w:val="24"/>
        </w:rPr>
        <w:t>Journal of Turkish Science Education, 21</w:t>
      </w:r>
      <w:r w:rsidRPr="002A17D9">
        <w:rPr>
          <w:rFonts w:eastAsia="Times New Roman"/>
          <w:sz w:val="24"/>
          <w:szCs w:val="24"/>
        </w:rPr>
        <w:t>(4), 651–667.</w:t>
      </w:r>
    </w:p>
    <w:p w14:paraId="5B25DB6E" w14:textId="77777777" w:rsidR="00DF1EB4" w:rsidRDefault="00DF1EB4" w:rsidP="002A17D9">
      <w:pPr>
        <w:spacing w:line="240" w:lineRule="auto"/>
        <w:rPr>
          <w:rFonts w:eastAsia="Times New Roman"/>
          <w:sz w:val="24"/>
          <w:szCs w:val="24"/>
          <w:lang w:val="en-US"/>
        </w:rPr>
      </w:pPr>
      <w:r w:rsidRPr="00DF1EB4">
        <w:rPr>
          <w:rFonts w:eastAsia="Times New Roman"/>
          <w:sz w:val="24"/>
          <w:szCs w:val="24"/>
        </w:rPr>
        <w:t xml:space="preserve">Louis, R. P. (2007). Can you hear us now? Voices from the margin: Using Indigenous methodologies in geographic research. </w:t>
      </w:r>
      <w:r w:rsidRPr="00DF1EB4">
        <w:rPr>
          <w:rFonts w:eastAsia="Times New Roman"/>
          <w:i/>
          <w:iCs/>
          <w:sz w:val="24"/>
          <w:szCs w:val="24"/>
        </w:rPr>
        <w:t>Geographical Research, 45</w:t>
      </w:r>
      <w:r w:rsidRPr="00DF1EB4">
        <w:rPr>
          <w:rFonts w:eastAsia="Times New Roman"/>
          <w:sz w:val="24"/>
          <w:szCs w:val="24"/>
        </w:rPr>
        <w:t xml:space="preserve">(2), 130–139. </w:t>
      </w:r>
      <w:hyperlink r:id="rId24" w:tgtFrame="_new" w:history="1">
        <w:r w:rsidRPr="00DF1EB4">
          <w:rPr>
            <w:rStyle w:val="Hyperlink"/>
            <w:rFonts w:eastAsia="Times New Roman"/>
            <w:sz w:val="24"/>
            <w:szCs w:val="24"/>
          </w:rPr>
          <w:t>https://doi.org/10.1111/j.1745-5871.2007.00443.x</w:t>
        </w:r>
      </w:hyperlink>
    </w:p>
    <w:p w14:paraId="76E3AD61" w14:textId="46202B31" w:rsidR="002A17D9" w:rsidRPr="004B5966" w:rsidRDefault="002A17D9" w:rsidP="002A17D9">
      <w:pPr>
        <w:spacing w:line="240" w:lineRule="auto"/>
        <w:rPr>
          <w:rFonts w:eastAsia="Times New Roman"/>
          <w:sz w:val="24"/>
          <w:szCs w:val="24"/>
          <w:lang w:val="fr-FR"/>
        </w:rPr>
      </w:pPr>
      <w:r w:rsidRPr="002A17D9">
        <w:rPr>
          <w:rFonts w:eastAsia="Times New Roman"/>
          <w:sz w:val="24"/>
          <w:szCs w:val="24"/>
          <w:lang w:val="en-US"/>
        </w:rPr>
        <w:t xml:space="preserve">McCarter, J., Gavin, M. C., Baereleo, S., &amp; Love, M. C. (2014). The challenges of integrating Indigenous and scientific knowledge in climate change adaptation planning. </w:t>
      </w:r>
      <w:proofErr w:type="spellStart"/>
      <w:r w:rsidRPr="004B5966">
        <w:rPr>
          <w:rFonts w:eastAsia="Times New Roman"/>
          <w:i/>
          <w:iCs/>
          <w:sz w:val="24"/>
          <w:szCs w:val="24"/>
          <w:lang w:val="fr-FR"/>
        </w:rPr>
        <w:t>Environmental</w:t>
      </w:r>
      <w:proofErr w:type="spellEnd"/>
      <w:r w:rsidRPr="004B5966">
        <w:rPr>
          <w:rFonts w:eastAsia="Times New Roman"/>
          <w:i/>
          <w:iCs/>
          <w:sz w:val="24"/>
          <w:szCs w:val="24"/>
          <w:lang w:val="fr-FR"/>
        </w:rPr>
        <w:t xml:space="preserve"> Management, 52</w:t>
      </w:r>
      <w:r w:rsidRPr="004B5966">
        <w:rPr>
          <w:rFonts w:eastAsia="Times New Roman"/>
          <w:sz w:val="24"/>
          <w:szCs w:val="24"/>
          <w:lang w:val="fr-FR"/>
        </w:rPr>
        <w:t>(3), 556–570.</w:t>
      </w:r>
    </w:p>
    <w:p w14:paraId="5D2B4EF9" w14:textId="068F9C88" w:rsidR="00DF1EB4" w:rsidRDefault="00DF1EB4" w:rsidP="002A17D9">
      <w:pPr>
        <w:spacing w:line="240" w:lineRule="auto"/>
        <w:rPr>
          <w:rFonts w:eastAsia="Times New Roman"/>
          <w:sz w:val="24"/>
          <w:szCs w:val="24"/>
        </w:rPr>
      </w:pPr>
      <w:proofErr w:type="spellStart"/>
      <w:r w:rsidRPr="004B5966">
        <w:rPr>
          <w:rFonts w:eastAsia="Times New Roman"/>
          <w:sz w:val="24"/>
          <w:szCs w:val="24"/>
          <w:lang w:val="fr-FR"/>
        </w:rPr>
        <w:t>Nemogá</w:t>
      </w:r>
      <w:proofErr w:type="spellEnd"/>
      <w:r w:rsidRPr="004B5966">
        <w:rPr>
          <w:rFonts w:eastAsia="Times New Roman"/>
          <w:sz w:val="24"/>
          <w:szCs w:val="24"/>
          <w:lang w:val="fr-FR"/>
        </w:rPr>
        <w:t xml:space="preserve">, G. R., </w:t>
      </w:r>
      <w:proofErr w:type="spellStart"/>
      <w:r w:rsidRPr="004B5966">
        <w:rPr>
          <w:rFonts w:eastAsia="Times New Roman"/>
          <w:sz w:val="24"/>
          <w:szCs w:val="24"/>
          <w:lang w:val="fr-FR"/>
        </w:rPr>
        <w:t>Appasamy</w:t>
      </w:r>
      <w:proofErr w:type="spellEnd"/>
      <w:r w:rsidRPr="004B5966">
        <w:rPr>
          <w:rFonts w:eastAsia="Times New Roman"/>
          <w:sz w:val="24"/>
          <w:szCs w:val="24"/>
          <w:lang w:val="fr-FR"/>
        </w:rPr>
        <w:t xml:space="preserve">, A., &amp; </w:t>
      </w:r>
      <w:proofErr w:type="spellStart"/>
      <w:r w:rsidRPr="004B5966">
        <w:rPr>
          <w:rFonts w:eastAsia="Times New Roman"/>
          <w:sz w:val="24"/>
          <w:szCs w:val="24"/>
          <w:lang w:val="fr-FR"/>
        </w:rPr>
        <w:t>Romanow</w:t>
      </w:r>
      <w:proofErr w:type="spellEnd"/>
      <w:r w:rsidRPr="004B5966">
        <w:rPr>
          <w:rFonts w:eastAsia="Times New Roman"/>
          <w:sz w:val="24"/>
          <w:szCs w:val="24"/>
          <w:lang w:val="fr-FR"/>
        </w:rPr>
        <w:t xml:space="preserve">, C. A. (2022). </w:t>
      </w:r>
      <w:r w:rsidRPr="00DF1EB4">
        <w:rPr>
          <w:rFonts w:eastAsia="Times New Roman"/>
          <w:sz w:val="24"/>
          <w:szCs w:val="24"/>
        </w:rPr>
        <w:t xml:space="preserve">Protecting Indigenous and local knowledge through a biocultural diversity framework. </w:t>
      </w:r>
      <w:r w:rsidRPr="00DF1EB4">
        <w:rPr>
          <w:rFonts w:eastAsia="Times New Roman"/>
          <w:i/>
          <w:iCs/>
          <w:sz w:val="24"/>
          <w:szCs w:val="24"/>
        </w:rPr>
        <w:t>The Journal of Environment &amp; Development, 31</w:t>
      </w:r>
      <w:r w:rsidRPr="00DF1EB4">
        <w:rPr>
          <w:rFonts w:eastAsia="Times New Roman"/>
          <w:sz w:val="24"/>
          <w:szCs w:val="24"/>
        </w:rPr>
        <w:t xml:space="preserve">(3), 223–252. </w:t>
      </w:r>
      <w:hyperlink r:id="rId25" w:history="1">
        <w:r w:rsidRPr="00D87646">
          <w:rPr>
            <w:rStyle w:val="Hyperlink"/>
            <w:rFonts w:eastAsia="Times New Roman"/>
            <w:sz w:val="24"/>
            <w:szCs w:val="24"/>
          </w:rPr>
          <w:t>https://doi.org/10.1177/10704965221104781</w:t>
        </w:r>
      </w:hyperlink>
    </w:p>
    <w:p w14:paraId="0AEDD1E0" w14:textId="60A96241" w:rsidR="002A17D9" w:rsidRPr="002A17D9" w:rsidRDefault="002A17D9" w:rsidP="002A17D9">
      <w:pPr>
        <w:spacing w:line="240" w:lineRule="auto"/>
        <w:rPr>
          <w:rFonts w:eastAsia="Times New Roman"/>
          <w:sz w:val="24"/>
          <w:szCs w:val="24"/>
          <w:lang w:val="en-US"/>
        </w:rPr>
      </w:pPr>
      <w:r w:rsidRPr="002A17D9">
        <w:rPr>
          <w:rFonts w:eastAsia="Times New Roman"/>
          <w:sz w:val="24"/>
          <w:szCs w:val="24"/>
          <w:lang w:val="en-US"/>
        </w:rPr>
        <w:lastRenderedPageBreak/>
        <w:t xml:space="preserve">Ochoa, G., &amp; Gómez, A. (2018). </w:t>
      </w:r>
      <w:r w:rsidRPr="002A17D9">
        <w:rPr>
          <w:rFonts w:eastAsia="Times New Roman"/>
          <w:sz w:val="24"/>
          <w:szCs w:val="24"/>
          <w:lang w:val="es-CO"/>
        </w:rPr>
        <w:t xml:space="preserve">Educación propia y políticas interculturales en Colombia. </w:t>
      </w:r>
      <w:r w:rsidRPr="002A17D9">
        <w:rPr>
          <w:rFonts w:eastAsia="Times New Roman"/>
          <w:i/>
          <w:iCs/>
          <w:sz w:val="24"/>
          <w:szCs w:val="24"/>
          <w:lang w:val="en-US"/>
        </w:rPr>
        <w:t xml:space="preserve">Revista Colombiana de </w:t>
      </w:r>
      <w:proofErr w:type="spellStart"/>
      <w:r w:rsidRPr="002A17D9">
        <w:rPr>
          <w:rFonts w:eastAsia="Times New Roman"/>
          <w:i/>
          <w:iCs/>
          <w:sz w:val="24"/>
          <w:szCs w:val="24"/>
          <w:lang w:val="en-US"/>
        </w:rPr>
        <w:t>Educación</w:t>
      </w:r>
      <w:proofErr w:type="spellEnd"/>
      <w:r w:rsidRPr="002A17D9">
        <w:rPr>
          <w:rFonts w:eastAsia="Times New Roman"/>
          <w:i/>
          <w:iCs/>
          <w:sz w:val="24"/>
          <w:szCs w:val="24"/>
          <w:lang w:val="en-US"/>
        </w:rPr>
        <w:t>, 75</w:t>
      </w:r>
      <w:r w:rsidRPr="002A17D9">
        <w:rPr>
          <w:rFonts w:eastAsia="Times New Roman"/>
          <w:sz w:val="24"/>
          <w:szCs w:val="24"/>
          <w:lang w:val="en-US"/>
        </w:rPr>
        <w:t>, 55–75.</w:t>
      </w:r>
    </w:p>
    <w:p w14:paraId="60993A2B" w14:textId="77777777" w:rsidR="002A17D9" w:rsidRPr="002A17D9" w:rsidRDefault="002A17D9" w:rsidP="002A17D9">
      <w:pPr>
        <w:spacing w:line="240" w:lineRule="auto"/>
        <w:rPr>
          <w:rFonts w:eastAsia="Times New Roman"/>
          <w:sz w:val="24"/>
          <w:szCs w:val="24"/>
          <w:lang w:val="en-US"/>
        </w:rPr>
      </w:pPr>
      <w:r w:rsidRPr="002A17D9">
        <w:rPr>
          <w:rFonts w:eastAsia="Times New Roman"/>
          <w:sz w:val="24"/>
          <w:szCs w:val="24"/>
          <w:lang w:val="en-US"/>
        </w:rPr>
        <w:t xml:space="preserve">Science Panel for the Amazon. (2021). </w:t>
      </w:r>
      <w:r w:rsidRPr="002A17D9">
        <w:rPr>
          <w:rFonts w:eastAsia="Times New Roman"/>
          <w:i/>
          <w:iCs/>
          <w:sz w:val="24"/>
          <w:szCs w:val="24"/>
          <w:lang w:val="en-US"/>
        </w:rPr>
        <w:t>Amazon assessment report 2021</w:t>
      </w:r>
      <w:r w:rsidRPr="002A17D9">
        <w:rPr>
          <w:rFonts w:eastAsia="Times New Roman"/>
          <w:sz w:val="24"/>
          <w:szCs w:val="24"/>
          <w:lang w:val="en-US"/>
        </w:rPr>
        <w:t>. United Nations Sustainable Development Solutions Network.</w:t>
      </w:r>
    </w:p>
    <w:p w14:paraId="71595B82" w14:textId="77777777" w:rsidR="002A17D9" w:rsidRPr="002A17D9" w:rsidRDefault="002A17D9" w:rsidP="002A17D9">
      <w:pPr>
        <w:spacing w:line="240" w:lineRule="auto"/>
        <w:rPr>
          <w:rFonts w:eastAsia="Times New Roman"/>
          <w:sz w:val="24"/>
          <w:szCs w:val="24"/>
          <w:lang w:val="en-US"/>
        </w:rPr>
      </w:pPr>
      <w:r w:rsidRPr="002A17D9">
        <w:rPr>
          <w:rFonts w:eastAsia="Times New Roman"/>
          <w:sz w:val="24"/>
          <w:szCs w:val="24"/>
          <w:lang w:val="en-US"/>
        </w:rPr>
        <w:t xml:space="preserve">Simpson, L. B. (2014). Land as pedagogy: Nishnaabeg intelligence and rebellious transformation. </w:t>
      </w:r>
      <w:r w:rsidRPr="002A17D9">
        <w:rPr>
          <w:rFonts w:eastAsia="Times New Roman"/>
          <w:i/>
          <w:iCs/>
          <w:sz w:val="24"/>
          <w:szCs w:val="24"/>
          <w:lang w:val="en-US"/>
        </w:rPr>
        <w:t>Decolonization: Indigeneity, Education &amp; Society, 3</w:t>
      </w:r>
      <w:r w:rsidRPr="002A17D9">
        <w:rPr>
          <w:rFonts w:eastAsia="Times New Roman"/>
          <w:sz w:val="24"/>
          <w:szCs w:val="24"/>
          <w:lang w:val="en-US"/>
        </w:rPr>
        <w:t>(3), 1–25.</w:t>
      </w:r>
    </w:p>
    <w:p w14:paraId="0C188CE8" w14:textId="77777777" w:rsidR="002A17D9" w:rsidRPr="002A17D9" w:rsidRDefault="002A17D9" w:rsidP="002A17D9">
      <w:pPr>
        <w:spacing w:line="240" w:lineRule="auto"/>
        <w:rPr>
          <w:rFonts w:eastAsia="Times New Roman"/>
          <w:sz w:val="24"/>
          <w:szCs w:val="24"/>
          <w:lang w:val="en-US"/>
        </w:rPr>
      </w:pPr>
      <w:r w:rsidRPr="002A17D9">
        <w:rPr>
          <w:rFonts w:eastAsia="Times New Roman"/>
          <w:sz w:val="24"/>
          <w:szCs w:val="24"/>
          <w:lang w:val="en-US"/>
        </w:rPr>
        <w:t xml:space="preserve">Smith, L. T. (2012). </w:t>
      </w:r>
      <w:r w:rsidRPr="002A17D9">
        <w:rPr>
          <w:rFonts w:eastAsia="Times New Roman"/>
          <w:i/>
          <w:iCs/>
          <w:sz w:val="24"/>
          <w:szCs w:val="24"/>
          <w:lang w:val="en-US"/>
        </w:rPr>
        <w:t>Decolonizing methodologies: Research and Indigenous peoples</w:t>
      </w:r>
      <w:r w:rsidRPr="002A17D9">
        <w:rPr>
          <w:rFonts w:eastAsia="Times New Roman"/>
          <w:sz w:val="24"/>
          <w:szCs w:val="24"/>
          <w:lang w:val="en-US"/>
        </w:rPr>
        <w:t xml:space="preserve"> (2nd ed.). Zed Books.</w:t>
      </w:r>
    </w:p>
    <w:p w14:paraId="10C65528" w14:textId="2FBB400E" w:rsidR="00D41D29" w:rsidRDefault="00125A59" w:rsidP="00125A59">
      <w:pPr>
        <w:rPr>
          <w:rFonts w:eastAsia="Times New Roman"/>
          <w:sz w:val="24"/>
          <w:szCs w:val="24"/>
        </w:rPr>
      </w:pPr>
      <w:r w:rsidRPr="00125A59">
        <w:rPr>
          <w:rFonts w:eastAsia="Times New Roman"/>
          <w:sz w:val="24"/>
          <w:szCs w:val="24"/>
        </w:rPr>
        <w:t xml:space="preserve">Smith, L. T., Munshi, D., Munshi, D., Cruz, J., &amp; Pal, M. (2023). Decolonizing knowledge: Cultural aspirations, political self-determination, and social rights in knowledge making. In </w:t>
      </w:r>
      <w:r w:rsidRPr="00125A59">
        <w:rPr>
          <w:rFonts w:eastAsia="Times New Roman"/>
          <w:i/>
          <w:iCs/>
          <w:sz w:val="24"/>
          <w:szCs w:val="24"/>
        </w:rPr>
        <w:t>Organizing at the margins</w:t>
      </w:r>
      <w:r w:rsidRPr="00125A59">
        <w:rPr>
          <w:rFonts w:eastAsia="Times New Roman"/>
          <w:sz w:val="24"/>
          <w:szCs w:val="24"/>
        </w:rPr>
        <w:t xml:space="preserve"> (pp. 15–31).</w:t>
      </w:r>
    </w:p>
    <w:p w14:paraId="3FD40380" w14:textId="77777777" w:rsidR="00BA5007" w:rsidRPr="004B5966" w:rsidRDefault="00BA5007" w:rsidP="00BA5007">
      <w:pPr>
        <w:spacing w:line="240" w:lineRule="auto"/>
        <w:rPr>
          <w:rFonts w:eastAsia="Times New Roman"/>
          <w:sz w:val="24"/>
          <w:szCs w:val="24"/>
          <w:lang w:val="es-CO"/>
        </w:rPr>
      </w:pPr>
      <w:proofErr w:type="spellStart"/>
      <w:r w:rsidRPr="00DF1EB4">
        <w:rPr>
          <w:rFonts w:eastAsia="Times New Roman"/>
          <w:sz w:val="24"/>
          <w:szCs w:val="24"/>
        </w:rPr>
        <w:t>Tengö</w:t>
      </w:r>
      <w:proofErr w:type="spellEnd"/>
      <w:r w:rsidRPr="00DF1EB4">
        <w:rPr>
          <w:rFonts w:eastAsia="Times New Roman"/>
          <w:sz w:val="24"/>
          <w:szCs w:val="24"/>
        </w:rPr>
        <w:t xml:space="preserve">, M., Hill, R., Malmer, P., Raymond, C. M., </w:t>
      </w:r>
      <w:proofErr w:type="spellStart"/>
      <w:r w:rsidRPr="00DF1EB4">
        <w:rPr>
          <w:rFonts w:eastAsia="Times New Roman"/>
          <w:sz w:val="24"/>
          <w:szCs w:val="24"/>
        </w:rPr>
        <w:t>Spierenburg</w:t>
      </w:r>
      <w:proofErr w:type="spellEnd"/>
      <w:r w:rsidRPr="00DF1EB4">
        <w:rPr>
          <w:rFonts w:eastAsia="Times New Roman"/>
          <w:sz w:val="24"/>
          <w:szCs w:val="24"/>
        </w:rPr>
        <w:t xml:space="preserve">, M., Danielsen, F., Elmqvist, T., &amp; Folke, C. (2017). Weaving knowledge systems in IPBES, CBD and beyond: Lessons learned for sustainability. </w:t>
      </w:r>
      <w:proofErr w:type="spellStart"/>
      <w:r w:rsidRPr="004B5966">
        <w:rPr>
          <w:rFonts w:eastAsia="Times New Roman"/>
          <w:i/>
          <w:iCs/>
          <w:sz w:val="24"/>
          <w:szCs w:val="24"/>
          <w:lang w:val="es-CO"/>
        </w:rPr>
        <w:t>Current</w:t>
      </w:r>
      <w:proofErr w:type="spellEnd"/>
      <w:r w:rsidRPr="004B5966">
        <w:rPr>
          <w:rFonts w:eastAsia="Times New Roman"/>
          <w:i/>
          <w:iCs/>
          <w:sz w:val="24"/>
          <w:szCs w:val="24"/>
          <w:lang w:val="es-CO"/>
        </w:rPr>
        <w:t xml:space="preserve"> </w:t>
      </w:r>
      <w:proofErr w:type="spellStart"/>
      <w:r w:rsidRPr="004B5966">
        <w:rPr>
          <w:rFonts w:eastAsia="Times New Roman"/>
          <w:i/>
          <w:iCs/>
          <w:sz w:val="24"/>
          <w:szCs w:val="24"/>
          <w:lang w:val="es-CO"/>
        </w:rPr>
        <w:t>Opinion</w:t>
      </w:r>
      <w:proofErr w:type="spellEnd"/>
      <w:r w:rsidRPr="004B5966">
        <w:rPr>
          <w:rFonts w:eastAsia="Times New Roman"/>
          <w:i/>
          <w:iCs/>
          <w:sz w:val="24"/>
          <w:szCs w:val="24"/>
          <w:lang w:val="es-CO"/>
        </w:rPr>
        <w:t xml:space="preserve"> in </w:t>
      </w:r>
      <w:proofErr w:type="spellStart"/>
      <w:r w:rsidRPr="004B5966">
        <w:rPr>
          <w:rFonts w:eastAsia="Times New Roman"/>
          <w:i/>
          <w:iCs/>
          <w:sz w:val="24"/>
          <w:szCs w:val="24"/>
          <w:lang w:val="es-CO"/>
        </w:rPr>
        <w:t>Environmental</w:t>
      </w:r>
      <w:proofErr w:type="spellEnd"/>
      <w:r w:rsidRPr="004B5966">
        <w:rPr>
          <w:rFonts w:eastAsia="Times New Roman"/>
          <w:i/>
          <w:iCs/>
          <w:sz w:val="24"/>
          <w:szCs w:val="24"/>
          <w:lang w:val="es-CO"/>
        </w:rPr>
        <w:t xml:space="preserve"> </w:t>
      </w:r>
      <w:proofErr w:type="spellStart"/>
      <w:r w:rsidRPr="004B5966">
        <w:rPr>
          <w:rFonts w:eastAsia="Times New Roman"/>
          <w:i/>
          <w:iCs/>
          <w:sz w:val="24"/>
          <w:szCs w:val="24"/>
          <w:lang w:val="es-CO"/>
        </w:rPr>
        <w:t>Sustainability</w:t>
      </w:r>
      <w:proofErr w:type="spellEnd"/>
      <w:r w:rsidRPr="004B5966">
        <w:rPr>
          <w:rFonts w:eastAsia="Times New Roman"/>
          <w:i/>
          <w:iCs/>
          <w:sz w:val="24"/>
          <w:szCs w:val="24"/>
          <w:lang w:val="es-CO"/>
        </w:rPr>
        <w:t>, 26–27</w:t>
      </w:r>
      <w:r w:rsidRPr="004B5966">
        <w:rPr>
          <w:rFonts w:eastAsia="Times New Roman"/>
          <w:sz w:val="24"/>
          <w:szCs w:val="24"/>
          <w:lang w:val="es-CO"/>
        </w:rPr>
        <w:t xml:space="preserve">, 17–25. </w:t>
      </w:r>
      <w:hyperlink r:id="rId26" w:tgtFrame="_new" w:history="1">
        <w:r w:rsidRPr="004B5966">
          <w:rPr>
            <w:rStyle w:val="Hyperlink"/>
            <w:rFonts w:eastAsia="Times New Roman"/>
            <w:sz w:val="24"/>
            <w:szCs w:val="24"/>
            <w:lang w:val="es-CO"/>
          </w:rPr>
          <w:t>https://doi.org/10.1016/j.cosust.2016.12.005</w:t>
        </w:r>
      </w:hyperlink>
    </w:p>
    <w:p w14:paraId="4A17A683" w14:textId="1904625C" w:rsidR="00BA5007" w:rsidRDefault="00BA5007" w:rsidP="00BA5007">
      <w:pPr>
        <w:spacing w:line="240" w:lineRule="auto"/>
        <w:rPr>
          <w:rFonts w:eastAsia="Times New Roman"/>
          <w:sz w:val="24"/>
          <w:szCs w:val="24"/>
          <w:lang w:val="en-US"/>
        </w:rPr>
      </w:pPr>
      <w:r w:rsidRPr="0051347A">
        <w:rPr>
          <w:rFonts w:eastAsia="Times New Roman"/>
          <w:sz w:val="24"/>
          <w:szCs w:val="24"/>
          <w:lang w:val="es-CO"/>
        </w:rPr>
        <w:t xml:space="preserve">Varese, M., Rodríguez, C., Piland, N., Athayde, S., Alvira Reyes, D., Rodrigues da Costa Doria, C., Echeverri, J. A., Jarrett, C., Matapi, U., Brito Maciel, N. J., Posada, V., Romualdo Román-Jitdutjaaño, O., Tello, L., &amp; Trujillo, L. A. (2021). </w:t>
      </w:r>
      <w:r w:rsidRPr="0051347A">
        <w:rPr>
          <w:rFonts w:eastAsia="Times New Roman"/>
          <w:sz w:val="24"/>
          <w:szCs w:val="24"/>
          <w:lang w:val="en-US"/>
        </w:rPr>
        <w:t xml:space="preserve">Chapter 33: Connecting and sharing diverse knowledges to support sustainable pathways in the Amazon. In </w:t>
      </w:r>
      <w:r w:rsidRPr="0051347A">
        <w:rPr>
          <w:rFonts w:eastAsia="Times New Roman"/>
          <w:i/>
          <w:iCs/>
          <w:sz w:val="24"/>
          <w:szCs w:val="24"/>
          <w:lang w:val="en-US"/>
        </w:rPr>
        <w:t>Amazon Assessment Report 2021</w:t>
      </w:r>
      <w:r w:rsidRPr="0051347A">
        <w:rPr>
          <w:rFonts w:eastAsia="Times New Roman"/>
          <w:sz w:val="24"/>
          <w:szCs w:val="24"/>
          <w:lang w:val="en-US"/>
        </w:rPr>
        <w:t xml:space="preserve">. UN Sustainable Development Solutions Network (SDSN). </w:t>
      </w:r>
      <w:hyperlink r:id="rId27" w:history="1">
        <w:r w:rsidRPr="0051347A">
          <w:rPr>
            <w:rStyle w:val="Hyperlink"/>
            <w:rFonts w:eastAsia="Times New Roman"/>
            <w:sz w:val="24"/>
            <w:szCs w:val="24"/>
            <w:lang w:val="en-US"/>
          </w:rPr>
          <w:t>https://doi.org/10.55161/dyak8997</w:t>
        </w:r>
      </w:hyperlink>
    </w:p>
    <w:p w14:paraId="750AF132" w14:textId="64C78C1F" w:rsidR="00BA5007" w:rsidRPr="008123ED" w:rsidRDefault="00BA5007" w:rsidP="008123ED">
      <w:pPr>
        <w:spacing w:line="240" w:lineRule="auto"/>
        <w:rPr>
          <w:rFonts w:eastAsia="Times New Roman"/>
          <w:sz w:val="24"/>
          <w:szCs w:val="24"/>
          <w:lang w:val="en-US"/>
        </w:rPr>
      </w:pPr>
      <w:r w:rsidRPr="00B73961">
        <w:rPr>
          <w:rFonts w:eastAsia="Times New Roman"/>
          <w:sz w:val="24"/>
          <w:szCs w:val="24"/>
        </w:rPr>
        <w:t>Wirth, C. (2022). </w:t>
      </w:r>
      <w:r w:rsidRPr="00B73961">
        <w:rPr>
          <w:rFonts w:eastAsia="Times New Roman"/>
          <w:i/>
          <w:iCs/>
          <w:sz w:val="24"/>
          <w:szCs w:val="24"/>
        </w:rPr>
        <w:t xml:space="preserve">Learning in the forest: An exploration of </w:t>
      </w:r>
      <w:proofErr w:type="spellStart"/>
      <w:r w:rsidRPr="00B73961">
        <w:rPr>
          <w:rFonts w:eastAsia="Times New Roman"/>
          <w:i/>
          <w:iCs/>
          <w:sz w:val="24"/>
          <w:szCs w:val="24"/>
        </w:rPr>
        <w:t>waorani</w:t>
      </w:r>
      <w:proofErr w:type="spellEnd"/>
      <w:r w:rsidRPr="00B73961">
        <w:rPr>
          <w:rFonts w:eastAsia="Times New Roman"/>
          <w:i/>
          <w:iCs/>
          <w:sz w:val="24"/>
          <w:szCs w:val="24"/>
        </w:rPr>
        <w:t xml:space="preserve"> education and its interaction with formal state schooling in the </w:t>
      </w:r>
      <w:proofErr w:type="spellStart"/>
      <w:r w:rsidRPr="00B73961">
        <w:rPr>
          <w:rFonts w:eastAsia="Times New Roman"/>
          <w:i/>
          <w:iCs/>
          <w:sz w:val="24"/>
          <w:szCs w:val="24"/>
        </w:rPr>
        <w:t>ecuadorian</w:t>
      </w:r>
      <w:proofErr w:type="spellEnd"/>
      <w:r w:rsidRPr="00B73961">
        <w:rPr>
          <w:rFonts w:eastAsia="Times New Roman"/>
          <w:i/>
          <w:iCs/>
          <w:sz w:val="24"/>
          <w:szCs w:val="24"/>
        </w:rPr>
        <w:t xml:space="preserve"> amazon </w:t>
      </w:r>
      <w:r w:rsidRPr="00B73961">
        <w:rPr>
          <w:rFonts w:eastAsia="Times New Roman"/>
          <w:sz w:val="24"/>
          <w:szCs w:val="24"/>
        </w:rPr>
        <w:t xml:space="preserve">(Order No. 31873735). Available from ProQuest Dissertations &amp; Theses A&amp;I; ProQuest Dissertations &amp; Theses Global. (3172040679). </w:t>
      </w:r>
    </w:p>
    <w:sectPr w:rsidR="00BA5007" w:rsidRPr="008123ED" w:rsidSect="004B5966">
      <w:headerReference w:type="default" r:id="rId28"/>
      <w:footerReference w:type="default" r:id="rId29"/>
      <w:headerReference w:type="firs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E4814" w14:textId="77777777" w:rsidR="0093743C" w:rsidRDefault="0093743C" w:rsidP="001D5441">
      <w:pPr>
        <w:spacing w:after="0" w:line="240" w:lineRule="auto"/>
      </w:pPr>
      <w:r>
        <w:separator/>
      </w:r>
    </w:p>
  </w:endnote>
  <w:endnote w:type="continuationSeparator" w:id="0">
    <w:p w14:paraId="231FD5D8" w14:textId="77777777" w:rsidR="0093743C" w:rsidRDefault="0093743C" w:rsidP="001D5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534741"/>
      <w:docPartObj>
        <w:docPartGallery w:val="Page Numbers (Bottom of Page)"/>
        <w:docPartUnique/>
      </w:docPartObj>
    </w:sdtPr>
    <w:sdtEndPr>
      <w:rPr>
        <w:noProof/>
      </w:rPr>
    </w:sdtEndPr>
    <w:sdtContent>
      <w:p w14:paraId="4A5DB275" w14:textId="543A6E32" w:rsidR="004B5966" w:rsidRDefault="004B5966">
        <w:pPr>
          <w:pStyle w:val="Footer"/>
        </w:pPr>
        <w:r>
          <w:fldChar w:fldCharType="begin"/>
        </w:r>
        <w:r>
          <w:instrText xml:space="preserve"> PAGE   \* MERGEFORMAT </w:instrText>
        </w:r>
        <w:r>
          <w:fldChar w:fldCharType="separate"/>
        </w:r>
        <w:r>
          <w:rPr>
            <w:noProof/>
          </w:rPr>
          <w:t>2</w:t>
        </w:r>
        <w:r>
          <w:rPr>
            <w:noProof/>
          </w:rPr>
          <w:fldChar w:fldCharType="end"/>
        </w:r>
      </w:p>
    </w:sdtContent>
  </w:sdt>
  <w:p w14:paraId="0B398E70" w14:textId="77777777" w:rsidR="004B5966" w:rsidRDefault="004B5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A853B" w14:textId="77777777" w:rsidR="0093743C" w:rsidRDefault="0093743C" w:rsidP="001D5441">
      <w:pPr>
        <w:spacing w:after="0" w:line="240" w:lineRule="auto"/>
      </w:pPr>
      <w:r>
        <w:separator/>
      </w:r>
    </w:p>
  </w:footnote>
  <w:footnote w:type="continuationSeparator" w:id="0">
    <w:p w14:paraId="6DA37E3C" w14:textId="77777777" w:rsidR="0093743C" w:rsidRDefault="0093743C" w:rsidP="001D5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B458D99" w14:paraId="199C1123" w14:textId="77777777" w:rsidTr="6B458D99">
      <w:trPr>
        <w:trHeight w:val="300"/>
      </w:trPr>
      <w:tc>
        <w:tcPr>
          <w:tcW w:w="3120" w:type="dxa"/>
        </w:tcPr>
        <w:p w14:paraId="04A41C97" w14:textId="7F3B81C4" w:rsidR="6B458D99" w:rsidRDefault="6B458D99" w:rsidP="6B458D99">
          <w:pPr>
            <w:pStyle w:val="Header"/>
            <w:ind w:left="-115"/>
          </w:pPr>
        </w:p>
      </w:tc>
      <w:tc>
        <w:tcPr>
          <w:tcW w:w="3120" w:type="dxa"/>
        </w:tcPr>
        <w:p w14:paraId="5C7CB7C0" w14:textId="764B4ED2" w:rsidR="6B458D99" w:rsidRDefault="6B458D99" w:rsidP="6B458D99">
          <w:pPr>
            <w:pStyle w:val="Header"/>
            <w:jc w:val="center"/>
          </w:pPr>
        </w:p>
      </w:tc>
      <w:tc>
        <w:tcPr>
          <w:tcW w:w="3120" w:type="dxa"/>
        </w:tcPr>
        <w:p w14:paraId="42993760" w14:textId="6C858456" w:rsidR="6B458D99" w:rsidRDefault="6B458D99" w:rsidP="6B458D99">
          <w:pPr>
            <w:pStyle w:val="Header"/>
            <w:ind w:right="-115"/>
            <w:jc w:val="right"/>
          </w:pPr>
        </w:p>
      </w:tc>
    </w:tr>
  </w:tbl>
  <w:p w14:paraId="5D0DDD52" w14:textId="58756B38" w:rsidR="6B458D99" w:rsidRDefault="6B458D99" w:rsidP="6B458D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B458D99" w14:paraId="1248376C" w14:textId="77777777" w:rsidTr="6B458D99">
      <w:trPr>
        <w:trHeight w:val="300"/>
      </w:trPr>
      <w:tc>
        <w:tcPr>
          <w:tcW w:w="3120" w:type="dxa"/>
        </w:tcPr>
        <w:p w14:paraId="087C5FCC" w14:textId="462111B8" w:rsidR="6B458D99" w:rsidRDefault="6B458D99" w:rsidP="6B458D99">
          <w:pPr>
            <w:pStyle w:val="Header"/>
            <w:ind w:left="-115"/>
          </w:pPr>
        </w:p>
      </w:tc>
      <w:tc>
        <w:tcPr>
          <w:tcW w:w="3120" w:type="dxa"/>
        </w:tcPr>
        <w:p w14:paraId="2FE7119F" w14:textId="5ABD9FA8" w:rsidR="6B458D99" w:rsidRDefault="6B458D99" w:rsidP="6B458D99">
          <w:pPr>
            <w:pStyle w:val="Header"/>
            <w:jc w:val="center"/>
          </w:pPr>
        </w:p>
      </w:tc>
      <w:tc>
        <w:tcPr>
          <w:tcW w:w="3120" w:type="dxa"/>
        </w:tcPr>
        <w:p w14:paraId="3D9FE51F" w14:textId="3E59B4D7" w:rsidR="6B458D99" w:rsidRDefault="6B458D99" w:rsidP="6B458D99">
          <w:pPr>
            <w:pStyle w:val="Header"/>
            <w:ind w:right="-115"/>
            <w:jc w:val="right"/>
          </w:pPr>
        </w:p>
      </w:tc>
    </w:tr>
  </w:tbl>
  <w:p w14:paraId="4388DEEB" w14:textId="1744D6BA" w:rsidR="6B458D99" w:rsidRDefault="6B458D99" w:rsidP="6B458D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D29"/>
    <w:rsid w:val="000029EC"/>
    <w:rsid w:val="00031B9F"/>
    <w:rsid w:val="0005379A"/>
    <w:rsid w:val="00087713"/>
    <w:rsid w:val="000C6278"/>
    <w:rsid w:val="000F56F9"/>
    <w:rsid w:val="00106305"/>
    <w:rsid w:val="00112DAA"/>
    <w:rsid w:val="00125A59"/>
    <w:rsid w:val="001B1045"/>
    <w:rsid w:val="001D5441"/>
    <w:rsid w:val="0023290E"/>
    <w:rsid w:val="00263C85"/>
    <w:rsid w:val="002A17D9"/>
    <w:rsid w:val="002A29D4"/>
    <w:rsid w:val="002A62B9"/>
    <w:rsid w:val="002A7074"/>
    <w:rsid w:val="003134FF"/>
    <w:rsid w:val="003379F5"/>
    <w:rsid w:val="003630DF"/>
    <w:rsid w:val="003D7293"/>
    <w:rsid w:val="0043783C"/>
    <w:rsid w:val="004412E7"/>
    <w:rsid w:val="00465AFE"/>
    <w:rsid w:val="00472AB8"/>
    <w:rsid w:val="0048314B"/>
    <w:rsid w:val="00483BCB"/>
    <w:rsid w:val="00490C9E"/>
    <w:rsid w:val="004A77A9"/>
    <w:rsid w:val="004B5966"/>
    <w:rsid w:val="004E05CF"/>
    <w:rsid w:val="004F7B16"/>
    <w:rsid w:val="0051347A"/>
    <w:rsid w:val="0058249A"/>
    <w:rsid w:val="005B0F9D"/>
    <w:rsid w:val="005B69C3"/>
    <w:rsid w:val="00643192"/>
    <w:rsid w:val="006477D7"/>
    <w:rsid w:val="006A190C"/>
    <w:rsid w:val="006A1EBA"/>
    <w:rsid w:val="006C2270"/>
    <w:rsid w:val="006C2326"/>
    <w:rsid w:val="006E4F1A"/>
    <w:rsid w:val="006F59FF"/>
    <w:rsid w:val="006F6567"/>
    <w:rsid w:val="00716227"/>
    <w:rsid w:val="0072077D"/>
    <w:rsid w:val="007211E3"/>
    <w:rsid w:val="00723047"/>
    <w:rsid w:val="007446EF"/>
    <w:rsid w:val="0076529D"/>
    <w:rsid w:val="00775DB7"/>
    <w:rsid w:val="00777307"/>
    <w:rsid w:val="007934AB"/>
    <w:rsid w:val="007B753D"/>
    <w:rsid w:val="007C51CA"/>
    <w:rsid w:val="007D6D5C"/>
    <w:rsid w:val="007E3B16"/>
    <w:rsid w:val="008123ED"/>
    <w:rsid w:val="00812FBA"/>
    <w:rsid w:val="008164BE"/>
    <w:rsid w:val="00831B84"/>
    <w:rsid w:val="00866D52"/>
    <w:rsid w:val="00886027"/>
    <w:rsid w:val="00897D5E"/>
    <w:rsid w:val="008A4303"/>
    <w:rsid w:val="008A6250"/>
    <w:rsid w:val="008F016C"/>
    <w:rsid w:val="008F1179"/>
    <w:rsid w:val="0093743C"/>
    <w:rsid w:val="00953361"/>
    <w:rsid w:val="0095528B"/>
    <w:rsid w:val="009808E8"/>
    <w:rsid w:val="00983342"/>
    <w:rsid w:val="0098384E"/>
    <w:rsid w:val="009843E8"/>
    <w:rsid w:val="009C0142"/>
    <w:rsid w:val="009D1816"/>
    <w:rsid w:val="00A04BCE"/>
    <w:rsid w:val="00A14353"/>
    <w:rsid w:val="00A432FF"/>
    <w:rsid w:val="00A67966"/>
    <w:rsid w:val="00A85644"/>
    <w:rsid w:val="00AA161D"/>
    <w:rsid w:val="00AB086D"/>
    <w:rsid w:val="00B10AD1"/>
    <w:rsid w:val="00B37DFE"/>
    <w:rsid w:val="00B73961"/>
    <w:rsid w:val="00B938B9"/>
    <w:rsid w:val="00BA5007"/>
    <w:rsid w:val="00BF565A"/>
    <w:rsid w:val="00C1748F"/>
    <w:rsid w:val="00C25033"/>
    <w:rsid w:val="00C36CCF"/>
    <w:rsid w:val="00C45968"/>
    <w:rsid w:val="00C577F9"/>
    <w:rsid w:val="00C83A7F"/>
    <w:rsid w:val="00CA195E"/>
    <w:rsid w:val="00CA5237"/>
    <w:rsid w:val="00CB0BFB"/>
    <w:rsid w:val="00CD551E"/>
    <w:rsid w:val="00CF0728"/>
    <w:rsid w:val="00D41D29"/>
    <w:rsid w:val="00D82DE8"/>
    <w:rsid w:val="00DA1518"/>
    <w:rsid w:val="00DD1BC4"/>
    <w:rsid w:val="00DF1EB4"/>
    <w:rsid w:val="00E7423A"/>
    <w:rsid w:val="00E82BC6"/>
    <w:rsid w:val="00EB23F7"/>
    <w:rsid w:val="00EC3F06"/>
    <w:rsid w:val="00EF3869"/>
    <w:rsid w:val="00F33474"/>
    <w:rsid w:val="00F42608"/>
    <w:rsid w:val="00F5286A"/>
    <w:rsid w:val="00F829E7"/>
    <w:rsid w:val="00F9465D"/>
    <w:rsid w:val="00FB4377"/>
    <w:rsid w:val="00FD3CC7"/>
    <w:rsid w:val="0C6C480E"/>
    <w:rsid w:val="1E9E2EE8"/>
    <w:rsid w:val="1EDEBA94"/>
    <w:rsid w:val="25B1A109"/>
    <w:rsid w:val="54488FA3"/>
    <w:rsid w:val="6B458D99"/>
    <w:rsid w:val="7746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32FE"/>
  <w15:chartTrackingRefBased/>
  <w15:docId w15:val="{2A85AD0E-A65C-4A15-9586-3275A7AA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D29"/>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D41D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1D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1D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1D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1D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1D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1D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D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D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D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1D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1D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1D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1D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1D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D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D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D29"/>
    <w:rPr>
      <w:rFonts w:eastAsiaTheme="majorEastAsia" w:cstheme="majorBidi"/>
      <w:color w:val="272727" w:themeColor="text1" w:themeTint="D8"/>
    </w:rPr>
  </w:style>
  <w:style w:type="paragraph" w:styleId="Title">
    <w:name w:val="Title"/>
    <w:basedOn w:val="Normal"/>
    <w:next w:val="Normal"/>
    <w:link w:val="TitleChar"/>
    <w:uiPriority w:val="10"/>
    <w:qFormat/>
    <w:rsid w:val="00D41D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D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D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D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D29"/>
    <w:pPr>
      <w:spacing w:before="160"/>
      <w:jc w:val="center"/>
    </w:pPr>
    <w:rPr>
      <w:i/>
      <w:iCs/>
      <w:color w:val="404040" w:themeColor="text1" w:themeTint="BF"/>
    </w:rPr>
  </w:style>
  <w:style w:type="character" w:customStyle="1" w:styleId="QuoteChar">
    <w:name w:val="Quote Char"/>
    <w:basedOn w:val="DefaultParagraphFont"/>
    <w:link w:val="Quote"/>
    <w:uiPriority w:val="29"/>
    <w:rsid w:val="00D41D29"/>
    <w:rPr>
      <w:i/>
      <w:iCs/>
      <w:color w:val="404040" w:themeColor="text1" w:themeTint="BF"/>
    </w:rPr>
  </w:style>
  <w:style w:type="paragraph" w:styleId="ListParagraph">
    <w:name w:val="List Paragraph"/>
    <w:basedOn w:val="Normal"/>
    <w:uiPriority w:val="34"/>
    <w:qFormat/>
    <w:rsid w:val="00D41D29"/>
    <w:pPr>
      <w:ind w:left="720"/>
      <w:contextualSpacing/>
    </w:pPr>
  </w:style>
  <w:style w:type="character" w:styleId="IntenseEmphasis">
    <w:name w:val="Intense Emphasis"/>
    <w:basedOn w:val="DefaultParagraphFont"/>
    <w:uiPriority w:val="21"/>
    <w:qFormat/>
    <w:rsid w:val="00D41D29"/>
    <w:rPr>
      <w:i/>
      <w:iCs/>
      <w:color w:val="0F4761" w:themeColor="accent1" w:themeShade="BF"/>
    </w:rPr>
  </w:style>
  <w:style w:type="paragraph" w:styleId="IntenseQuote">
    <w:name w:val="Intense Quote"/>
    <w:basedOn w:val="Normal"/>
    <w:next w:val="Normal"/>
    <w:link w:val="IntenseQuoteChar"/>
    <w:uiPriority w:val="30"/>
    <w:qFormat/>
    <w:rsid w:val="00D41D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1D29"/>
    <w:rPr>
      <w:i/>
      <w:iCs/>
      <w:color w:val="0F4761" w:themeColor="accent1" w:themeShade="BF"/>
    </w:rPr>
  </w:style>
  <w:style w:type="character" w:styleId="IntenseReference">
    <w:name w:val="Intense Reference"/>
    <w:basedOn w:val="DefaultParagraphFont"/>
    <w:uiPriority w:val="32"/>
    <w:qFormat/>
    <w:rsid w:val="00D41D29"/>
    <w:rPr>
      <w:b/>
      <w:bCs/>
      <w:smallCaps/>
      <w:color w:val="0F4761" w:themeColor="accent1" w:themeShade="BF"/>
      <w:spacing w:val="5"/>
    </w:rPr>
  </w:style>
  <w:style w:type="character" w:styleId="Hyperlink">
    <w:name w:val="Hyperlink"/>
    <w:basedOn w:val="DefaultParagraphFont"/>
    <w:uiPriority w:val="99"/>
    <w:unhideWhenUsed/>
    <w:rsid w:val="000C6278"/>
    <w:rPr>
      <w:color w:val="467886" w:themeColor="hyperlink"/>
      <w:u w:val="single"/>
    </w:rPr>
  </w:style>
  <w:style w:type="table" w:styleId="TableGrid">
    <w:name w:val="Table Grid"/>
    <w:basedOn w:val="TableNormal"/>
    <w:uiPriority w:val="39"/>
    <w:rsid w:val="00232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17D9"/>
    <w:rPr>
      <w:color w:val="605E5C"/>
      <w:shd w:val="clear" w:color="auto" w:fill="E1DFDD"/>
    </w:rPr>
  </w:style>
  <w:style w:type="paragraph" w:styleId="Revision">
    <w:name w:val="Revision"/>
    <w:hidden/>
    <w:uiPriority w:val="99"/>
    <w:semiHidden/>
    <w:rsid w:val="001D5441"/>
    <w:pPr>
      <w:spacing w:after="0" w:line="240" w:lineRule="auto"/>
    </w:pPr>
    <w:rPr>
      <w:kern w:val="0"/>
      <w:sz w:val="22"/>
      <w:szCs w:val="22"/>
      <w:lang w:val="en-IN"/>
      <w14:ligatures w14:val="none"/>
    </w:rPr>
  </w:style>
  <w:style w:type="character" w:styleId="CommentReference">
    <w:name w:val="annotation reference"/>
    <w:basedOn w:val="DefaultParagraphFont"/>
    <w:uiPriority w:val="99"/>
    <w:semiHidden/>
    <w:unhideWhenUsed/>
    <w:rsid w:val="001D5441"/>
    <w:rPr>
      <w:sz w:val="16"/>
      <w:szCs w:val="16"/>
    </w:rPr>
  </w:style>
  <w:style w:type="paragraph" w:styleId="CommentText">
    <w:name w:val="annotation text"/>
    <w:basedOn w:val="Normal"/>
    <w:link w:val="CommentTextChar"/>
    <w:uiPriority w:val="99"/>
    <w:semiHidden/>
    <w:unhideWhenUsed/>
    <w:rsid w:val="001D5441"/>
    <w:pPr>
      <w:spacing w:line="240" w:lineRule="auto"/>
    </w:pPr>
    <w:rPr>
      <w:sz w:val="20"/>
      <w:szCs w:val="20"/>
    </w:rPr>
  </w:style>
  <w:style w:type="character" w:customStyle="1" w:styleId="CommentTextChar">
    <w:name w:val="Comment Text Char"/>
    <w:basedOn w:val="DefaultParagraphFont"/>
    <w:link w:val="CommentText"/>
    <w:uiPriority w:val="99"/>
    <w:semiHidden/>
    <w:rsid w:val="001D5441"/>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D5441"/>
    <w:rPr>
      <w:b/>
      <w:bCs/>
    </w:rPr>
  </w:style>
  <w:style w:type="character" w:customStyle="1" w:styleId="CommentSubjectChar">
    <w:name w:val="Comment Subject Char"/>
    <w:basedOn w:val="CommentTextChar"/>
    <w:link w:val="CommentSubject"/>
    <w:uiPriority w:val="99"/>
    <w:semiHidden/>
    <w:rsid w:val="001D5441"/>
    <w:rPr>
      <w:b/>
      <w:bCs/>
      <w:kern w:val="0"/>
      <w:sz w:val="20"/>
      <w:szCs w:val="20"/>
      <w:lang w:val="en-IN"/>
      <w14:ligatures w14:val="none"/>
    </w:rPr>
  </w:style>
  <w:style w:type="paragraph" w:styleId="Footer">
    <w:name w:val="footer"/>
    <w:basedOn w:val="Normal"/>
    <w:link w:val="FooterChar"/>
    <w:uiPriority w:val="99"/>
    <w:unhideWhenUsed/>
    <w:rsid w:val="001D5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441"/>
    <w:rPr>
      <w:kern w:val="0"/>
      <w:sz w:val="22"/>
      <w:szCs w:val="22"/>
      <w:lang w:val="en-IN"/>
      <w14:ligatures w14:val="none"/>
    </w:rPr>
  </w:style>
  <w:style w:type="character" w:styleId="PageNumber">
    <w:name w:val="page number"/>
    <w:basedOn w:val="DefaultParagraphFont"/>
    <w:uiPriority w:val="99"/>
    <w:semiHidden/>
    <w:unhideWhenUsed/>
    <w:rsid w:val="001D5441"/>
  </w:style>
  <w:style w:type="paragraph" w:styleId="Header">
    <w:name w:val="header"/>
    <w:basedOn w:val="Normal"/>
    <w:link w:val="HeaderChar"/>
    <w:uiPriority w:val="99"/>
    <w:unhideWhenUsed/>
    <w:rsid w:val="00DA1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518"/>
    <w:rPr>
      <w:kern w:val="0"/>
      <w:sz w:val="22"/>
      <w:szCs w:val="22"/>
      <w:lang w:val="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1016/j.cosust.2016.12.005" TargetMode="External"/><Relationship Id="rId3" Type="http://schemas.openxmlformats.org/officeDocument/2006/relationships/settings" Target="settings.xml"/><Relationship Id="rId21" Type="http://schemas.openxmlformats.org/officeDocument/2006/relationships/hyperlink" Target="https://doi.org/10.3390/su1406341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177/1070496522110478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11/j.1745-5871.2007.00443.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38/s41893-019-0244-z"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2/sce.20392" TargetMode="External"/><Relationship Id="rId27" Type="http://schemas.openxmlformats.org/officeDocument/2006/relationships/hyperlink" Target="https://doi.org/10.55161/dyak8997"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FF56-BECA-704D-A207-5EB5117A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2885</Words>
  <Characters>18602</Characters>
  <Application>Microsoft Office Word</Application>
  <DocSecurity>4</DocSecurity>
  <Lines>353</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Simon-Pardo,Carolina</dc:creator>
  <cp:keywords/>
  <dc:description/>
  <cp:lastModifiedBy>Sampaio,Patricia D</cp:lastModifiedBy>
  <cp:revision>2</cp:revision>
  <dcterms:created xsi:type="dcterms:W3CDTF">2025-12-17T21:20:00Z</dcterms:created>
  <dcterms:modified xsi:type="dcterms:W3CDTF">2025-12-17T21:20:00Z</dcterms:modified>
</cp:coreProperties>
</file>