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CF06" w14:textId="1B2950DF" w:rsidR="00D317A5" w:rsidRPr="00C731C7" w:rsidRDefault="00386859" w:rsidP="0085588B">
      <w:pPr>
        <w:jc w:val="center"/>
        <w:rPr>
          <w:lang w:val="pt-BR"/>
        </w:rPr>
      </w:pPr>
      <w:r w:rsidRPr="00C731C7">
        <w:rPr>
          <w:lang w:val="pt-BR"/>
        </w:rPr>
        <w:t>Relatório da Oficina</w:t>
      </w:r>
    </w:p>
    <w:p w14:paraId="5855D9C5" w14:textId="67097212" w:rsidR="00231C6F" w:rsidRPr="00C731C7" w:rsidRDefault="00386859" w:rsidP="0085588B">
      <w:pPr>
        <w:jc w:val="center"/>
        <w:rPr>
          <w:lang w:val="pt-BR"/>
        </w:rPr>
      </w:pPr>
      <w:r w:rsidRPr="00C731C7">
        <w:rPr>
          <w:lang w:val="pt-BR"/>
        </w:rPr>
        <w:t>Ferramentas e Estratégias para a Conservação e o Desenvolvimento na Amazônia</w:t>
      </w:r>
    </w:p>
    <w:p w14:paraId="565F2C81" w14:textId="4444B614" w:rsidR="00231C6F" w:rsidRPr="00C731C7" w:rsidRDefault="00231C6F" w:rsidP="0085588B">
      <w:pPr>
        <w:jc w:val="center"/>
        <w:rPr>
          <w:lang w:val="pt-BR"/>
        </w:rPr>
      </w:pPr>
      <w:r w:rsidRPr="00C731C7">
        <w:rPr>
          <w:lang w:val="pt-BR"/>
        </w:rPr>
        <w:t>L</w:t>
      </w:r>
      <w:r w:rsidR="00386859" w:rsidRPr="00C731C7">
        <w:rPr>
          <w:lang w:val="pt-BR"/>
        </w:rPr>
        <w:t xml:space="preserve">ições </w:t>
      </w:r>
      <w:r w:rsidR="0085588B" w:rsidRPr="00C731C7">
        <w:rPr>
          <w:lang w:val="pt-BR"/>
        </w:rPr>
        <w:t>A</w:t>
      </w:r>
      <w:r w:rsidRPr="00C731C7">
        <w:rPr>
          <w:lang w:val="pt-BR"/>
        </w:rPr>
        <w:t xml:space="preserve">prendidas </w:t>
      </w:r>
      <w:r w:rsidR="00386859" w:rsidRPr="00C731C7">
        <w:rPr>
          <w:lang w:val="pt-BR"/>
        </w:rPr>
        <w:t>e</w:t>
      </w:r>
      <w:r w:rsidRPr="00C731C7">
        <w:rPr>
          <w:lang w:val="pt-BR"/>
        </w:rPr>
        <w:t xml:space="preserve"> </w:t>
      </w:r>
      <w:r w:rsidR="0085588B" w:rsidRPr="00C731C7">
        <w:rPr>
          <w:lang w:val="pt-BR"/>
        </w:rPr>
        <w:t>C</w:t>
      </w:r>
      <w:r w:rsidRPr="00C731C7">
        <w:rPr>
          <w:lang w:val="pt-BR"/>
        </w:rPr>
        <w:t>amin</w:t>
      </w:r>
      <w:r w:rsidR="00386859" w:rsidRPr="00C731C7">
        <w:rPr>
          <w:lang w:val="pt-BR"/>
        </w:rPr>
        <w:t>h</w:t>
      </w:r>
      <w:r w:rsidRPr="00C731C7">
        <w:rPr>
          <w:lang w:val="pt-BR"/>
        </w:rPr>
        <w:t xml:space="preserve">os </w:t>
      </w:r>
      <w:r w:rsidR="0085588B" w:rsidRPr="00C731C7">
        <w:rPr>
          <w:lang w:val="pt-BR"/>
        </w:rPr>
        <w:t>F</w:t>
      </w:r>
      <w:r w:rsidRPr="00C731C7">
        <w:rPr>
          <w:lang w:val="pt-BR"/>
        </w:rPr>
        <w:t>uturos</w:t>
      </w:r>
    </w:p>
    <w:p w14:paraId="26CD1C8F" w14:textId="2B5B8006" w:rsidR="00231C6F" w:rsidRPr="00C731C7" w:rsidRDefault="00386859">
      <w:pPr>
        <w:rPr>
          <w:b/>
          <w:lang w:val="pt-BR"/>
        </w:rPr>
      </w:pPr>
      <w:r w:rsidRPr="00C731C7">
        <w:rPr>
          <w:b/>
          <w:lang w:val="pt-BR"/>
        </w:rPr>
        <w:t>Sumário</w:t>
      </w:r>
      <w:r w:rsidR="00231C6F" w:rsidRPr="00C731C7">
        <w:rPr>
          <w:b/>
          <w:lang w:val="pt-BR"/>
        </w:rPr>
        <w:t xml:space="preserve"> e</w:t>
      </w:r>
      <w:r w:rsidRPr="00C731C7">
        <w:rPr>
          <w:b/>
          <w:lang w:val="pt-BR"/>
        </w:rPr>
        <w:t>x</w:t>
      </w:r>
      <w:r w:rsidR="00231C6F" w:rsidRPr="00C731C7">
        <w:rPr>
          <w:b/>
          <w:lang w:val="pt-BR"/>
        </w:rPr>
        <w:t>ecutivo</w:t>
      </w:r>
    </w:p>
    <w:p w14:paraId="50BB5949" w14:textId="49962870" w:rsidR="00231C6F" w:rsidRPr="00C731C7" w:rsidRDefault="00386859" w:rsidP="00CD5A26">
      <w:pPr>
        <w:ind w:firstLine="720"/>
        <w:jc w:val="both"/>
        <w:rPr>
          <w:lang w:val="pt-BR"/>
        </w:rPr>
      </w:pPr>
      <w:r w:rsidRPr="00C731C7">
        <w:rPr>
          <w:lang w:val="pt-BR"/>
        </w:rPr>
        <w:t xml:space="preserve">A oficina de </w:t>
      </w:r>
      <w:r w:rsidRPr="00C731C7">
        <w:rPr>
          <w:b/>
          <w:lang w:val="pt-BR"/>
        </w:rPr>
        <w:t>F</w:t>
      </w:r>
      <w:r w:rsidR="0085588B" w:rsidRPr="00C731C7">
        <w:rPr>
          <w:b/>
          <w:lang w:val="pt-BR"/>
        </w:rPr>
        <w:t xml:space="preserve">erramentas </w:t>
      </w:r>
      <w:r w:rsidRPr="00C731C7">
        <w:rPr>
          <w:b/>
          <w:lang w:val="pt-BR"/>
        </w:rPr>
        <w:t>e</w:t>
      </w:r>
      <w:r w:rsidR="0085588B" w:rsidRPr="00C731C7">
        <w:rPr>
          <w:b/>
          <w:lang w:val="pt-BR"/>
        </w:rPr>
        <w:t xml:space="preserve"> Estrat</w:t>
      </w:r>
      <w:r w:rsidRPr="00C731C7">
        <w:rPr>
          <w:b/>
          <w:lang w:val="pt-BR"/>
        </w:rPr>
        <w:t>ég</w:t>
      </w:r>
      <w:r w:rsidR="0085588B" w:rsidRPr="00C731C7">
        <w:rPr>
          <w:b/>
          <w:lang w:val="pt-BR"/>
        </w:rPr>
        <w:t>ias para a Conserva</w:t>
      </w:r>
      <w:r w:rsidRPr="00C731C7">
        <w:rPr>
          <w:b/>
          <w:lang w:val="pt-BR"/>
        </w:rPr>
        <w:t>ção</w:t>
      </w:r>
      <w:r w:rsidR="0085588B" w:rsidRPr="00C731C7">
        <w:rPr>
          <w:b/>
          <w:lang w:val="pt-BR"/>
        </w:rPr>
        <w:t xml:space="preserve"> </w:t>
      </w:r>
      <w:r w:rsidRPr="00C731C7">
        <w:rPr>
          <w:b/>
          <w:lang w:val="pt-BR"/>
        </w:rPr>
        <w:t>e</w:t>
      </w:r>
      <w:r w:rsidR="0085588B" w:rsidRPr="00C731C7">
        <w:rPr>
          <w:b/>
          <w:lang w:val="pt-BR"/>
        </w:rPr>
        <w:t xml:space="preserve"> </w:t>
      </w:r>
      <w:r w:rsidRPr="00C731C7">
        <w:rPr>
          <w:b/>
          <w:lang w:val="pt-BR"/>
        </w:rPr>
        <w:t>o</w:t>
      </w:r>
      <w:r w:rsidR="0085588B" w:rsidRPr="00C731C7">
        <w:rPr>
          <w:b/>
          <w:lang w:val="pt-BR"/>
        </w:rPr>
        <w:t xml:space="preserve"> Des</w:t>
      </w:r>
      <w:r w:rsidRPr="00C731C7">
        <w:rPr>
          <w:b/>
          <w:lang w:val="pt-BR"/>
        </w:rPr>
        <w:t>envolvimento n</w:t>
      </w:r>
      <w:r w:rsidR="0085588B" w:rsidRPr="00C731C7">
        <w:rPr>
          <w:b/>
          <w:lang w:val="pt-BR"/>
        </w:rPr>
        <w:t>a Amaz</w:t>
      </w:r>
      <w:r w:rsidRPr="00C731C7">
        <w:rPr>
          <w:b/>
          <w:lang w:val="pt-BR"/>
        </w:rPr>
        <w:t>ônia</w:t>
      </w:r>
      <w:r w:rsidR="0085588B" w:rsidRPr="00C731C7">
        <w:rPr>
          <w:b/>
          <w:lang w:val="pt-BR"/>
        </w:rPr>
        <w:t>: L</w:t>
      </w:r>
      <w:r w:rsidRPr="00C731C7">
        <w:rPr>
          <w:b/>
          <w:lang w:val="pt-BR"/>
        </w:rPr>
        <w:t xml:space="preserve">ições </w:t>
      </w:r>
      <w:r w:rsidR="0085588B" w:rsidRPr="00C731C7">
        <w:rPr>
          <w:b/>
          <w:lang w:val="pt-BR"/>
        </w:rPr>
        <w:t xml:space="preserve">Aprendidas </w:t>
      </w:r>
      <w:r w:rsidRPr="00C731C7">
        <w:rPr>
          <w:b/>
          <w:lang w:val="pt-BR"/>
        </w:rPr>
        <w:t>e</w:t>
      </w:r>
      <w:r w:rsidR="0085588B" w:rsidRPr="00C731C7">
        <w:rPr>
          <w:b/>
          <w:lang w:val="pt-BR"/>
        </w:rPr>
        <w:t xml:space="preserve"> Camin</w:t>
      </w:r>
      <w:r w:rsidRPr="00C731C7">
        <w:rPr>
          <w:b/>
          <w:lang w:val="pt-BR"/>
        </w:rPr>
        <w:t>h</w:t>
      </w:r>
      <w:r w:rsidR="0085588B" w:rsidRPr="00C731C7">
        <w:rPr>
          <w:b/>
          <w:lang w:val="pt-BR"/>
        </w:rPr>
        <w:t>os Futuros</w:t>
      </w:r>
      <w:r w:rsidR="0085588B" w:rsidRPr="00C731C7">
        <w:rPr>
          <w:lang w:val="pt-BR"/>
        </w:rPr>
        <w:t xml:space="preserve"> </w:t>
      </w:r>
      <w:r w:rsidRPr="00C731C7">
        <w:rPr>
          <w:lang w:val="pt-BR"/>
        </w:rPr>
        <w:t xml:space="preserve">foi realizada na cidade de </w:t>
      </w:r>
      <w:r w:rsidR="0085588B" w:rsidRPr="00C731C7">
        <w:rPr>
          <w:lang w:val="pt-BR"/>
        </w:rPr>
        <w:t>Gainesville, Fl</w:t>
      </w:r>
      <w:r w:rsidRPr="00C731C7">
        <w:rPr>
          <w:lang w:val="pt-BR"/>
        </w:rPr>
        <w:t>ó</w:t>
      </w:r>
      <w:r w:rsidR="0085588B" w:rsidRPr="00C731C7">
        <w:rPr>
          <w:lang w:val="pt-BR"/>
        </w:rPr>
        <w:t>rida (</w:t>
      </w:r>
      <w:r w:rsidR="00EC3FD4" w:rsidRPr="00C731C7">
        <w:rPr>
          <w:lang w:val="pt-BR"/>
        </w:rPr>
        <w:t>E</w:t>
      </w:r>
      <w:r w:rsidRPr="00C731C7">
        <w:rPr>
          <w:lang w:val="pt-BR"/>
        </w:rPr>
        <w:t>stados Unidos</w:t>
      </w:r>
      <w:r w:rsidR="0085588B" w:rsidRPr="00C731C7">
        <w:rPr>
          <w:lang w:val="pt-BR"/>
        </w:rPr>
        <w:t xml:space="preserve">) entre 3 </w:t>
      </w:r>
      <w:r w:rsidRPr="00C731C7">
        <w:rPr>
          <w:lang w:val="pt-BR"/>
        </w:rPr>
        <w:t xml:space="preserve">e </w:t>
      </w:r>
      <w:r w:rsidR="0085588B" w:rsidRPr="00C731C7">
        <w:rPr>
          <w:lang w:val="pt-BR"/>
        </w:rPr>
        <w:t>5 de o</w:t>
      </w:r>
      <w:r w:rsidRPr="00C731C7">
        <w:rPr>
          <w:lang w:val="pt-BR"/>
        </w:rPr>
        <w:t>utubro</w:t>
      </w:r>
      <w:r w:rsidR="0085588B" w:rsidRPr="00C731C7">
        <w:rPr>
          <w:lang w:val="pt-BR"/>
        </w:rPr>
        <w:t xml:space="preserve"> de 2017. </w:t>
      </w:r>
      <w:r w:rsidRPr="00C731C7">
        <w:rPr>
          <w:lang w:val="pt-BR"/>
        </w:rPr>
        <w:t xml:space="preserve">Sessenta e cinco </w:t>
      </w:r>
      <w:r w:rsidR="0085588B" w:rsidRPr="00C731C7">
        <w:rPr>
          <w:lang w:val="pt-BR"/>
        </w:rPr>
        <w:t xml:space="preserve">participantes </w:t>
      </w:r>
      <w:r w:rsidRPr="00C731C7">
        <w:rPr>
          <w:lang w:val="pt-BR"/>
        </w:rPr>
        <w:t>convidados</w:t>
      </w:r>
      <w:r w:rsidR="000C181E" w:rsidRPr="00C731C7">
        <w:rPr>
          <w:lang w:val="pt-BR"/>
        </w:rPr>
        <w:t>,</w:t>
      </w:r>
      <w:r w:rsidR="0085588B" w:rsidRPr="00C731C7">
        <w:rPr>
          <w:lang w:val="pt-BR"/>
        </w:rPr>
        <w:t xml:space="preserve"> provenientes de 49 organiza</w:t>
      </w:r>
      <w:r w:rsidRPr="00C731C7">
        <w:rPr>
          <w:lang w:val="pt-BR"/>
        </w:rPr>
        <w:t>ções</w:t>
      </w:r>
      <w:r w:rsidR="0085588B" w:rsidRPr="00C731C7">
        <w:rPr>
          <w:lang w:val="pt-BR"/>
        </w:rPr>
        <w:t xml:space="preserve"> g</w:t>
      </w:r>
      <w:r w:rsidRPr="00C731C7">
        <w:rPr>
          <w:lang w:val="pt-BR"/>
        </w:rPr>
        <w:t>overnamentai</w:t>
      </w:r>
      <w:r w:rsidR="0085588B" w:rsidRPr="00C731C7">
        <w:rPr>
          <w:lang w:val="pt-BR"/>
        </w:rPr>
        <w:t>s</w:t>
      </w:r>
      <w:r w:rsidR="005F25E0">
        <w:rPr>
          <w:lang w:val="pt-BR"/>
        </w:rPr>
        <w:t xml:space="preserve"> e</w:t>
      </w:r>
      <w:r w:rsidR="0085588B" w:rsidRPr="00C731C7">
        <w:rPr>
          <w:lang w:val="pt-BR"/>
        </w:rPr>
        <w:t xml:space="preserve"> n</w:t>
      </w:r>
      <w:r w:rsidRPr="00C731C7">
        <w:rPr>
          <w:lang w:val="pt-BR"/>
        </w:rPr>
        <w:t>ão</w:t>
      </w:r>
      <w:r w:rsidR="0085588B" w:rsidRPr="00C731C7">
        <w:rPr>
          <w:lang w:val="pt-BR"/>
        </w:rPr>
        <w:t>-g</w:t>
      </w:r>
      <w:r w:rsidRPr="00C731C7">
        <w:rPr>
          <w:lang w:val="pt-BR"/>
        </w:rPr>
        <w:t>overname</w:t>
      </w:r>
      <w:r w:rsidR="00C731C7">
        <w:rPr>
          <w:lang w:val="pt-BR"/>
        </w:rPr>
        <w:t>n</w:t>
      </w:r>
      <w:r w:rsidRPr="00C731C7">
        <w:rPr>
          <w:lang w:val="pt-BR"/>
        </w:rPr>
        <w:t>tai</w:t>
      </w:r>
      <w:r w:rsidR="0085588B" w:rsidRPr="00C731C7">
        <w:rPr>
          <w:lang w:val="pt-BR"/>
        </w:rPr>
        <w:t xml:space="preserve">s, </w:t>
      </w:r>
      <w:r w:rsidR="005F25E0">
        <w:rPr>
          <w:lang w:val="pt-BR"/>
        </w:rPr>
        <w:t xml:space="preserve">instituições </w:t>
      </w:r>
      <w:r w:rsidR="0085588B" w:rsidRPr="00C731C7">
        <w:rPr>
          <w:lang w:val="pt-BR"/>
        </w:rPr>
        <w:t>acad</w:t>
      </w:r>
      <w:r w:rsidRPr="00C731C7">
        <w:rPr>
          <w:lang w:val="pt-BR"/>
        </w:rPr>
        <w:t>ê</w:t>
      </w:r>
      <w:r w:rsidR="0085588B" w:rsidRPr="00C731C7">
        <w:rPr>
          <w:lang w:val="pt-BR"/>
        </w:rPr>
        <w:t xml:space="preserve">micas, de </w:t>
      </w:r>
      <w:r w:rsidRPr="00C731C7">
        <w:rPr>
          <w:lang w:val="pt-BR"/>
        </w:rPr>
        <w:t>pesquisa</w:t>
      </w:r>
      <w:r w:rsidR="0085588B" w:rsidRPr="00C731C7">
        <w:rPr>
          <w:lang w:val="pt-BR"/>
        </w:rPr>
        <w:t xml:space="preserve"> </w:t>
      </w:r>
      <w:r w:rsidRPr="00C731C7">
        <w:rPr>
          <w:lang w:val="pt-BR"/>
        </w:rPr>
        <w:t>e</w:t>
      </w:r>
      <w:r w:rsidR="0085588B" w:rsidRPr="00C731C7">
        <w:rPr>
          <w:lang w:val="pt-BR"/>
        </w:rPr>
        <w:t xml:space="preserve"> </w:t>
      </w:r>
      <w:r w:rsidR="005F25E0">
        <w:rPr>
          <w:lang w:val="pt-BR"/>
        </w:rPr>
        <w:t>de fomento,</w:t>
      </w:r>
      <w:r w:rsidR="00C731C7" w:rsidRPr="00C731C7">
        <w:rPr>
          <w:lang w:val="pt-BR"/>
        </w:rPr>
        <w:t xml:space="preserve"> se juntaram </w:t>
      </w:r>
      <w:r w:rsidR="0085588B" w:rsidRPr="00C731C7">
        <w:rPr>
          <w:lang w:val="pt-BR"/>
        </w:rPr>
        <w:t>a 28 docentes da Universidad</w:t>
      </w:r>
      <w:r w:rsidR="00C731C7" w:rsidRPr="00C731C7">
        <w:rPr>
          <w:lang w:val="pt-BR"/>
        </w:rPr>
        <w:t>e</w:t>
      </w:r>
      <w:r w:rsidR="0085588B" w:rsidRPr="00C731C7">
        <w:rPr>
          <w:lang w:val="pt-BR"/>
        </w:rPr>
        <w:t xml:space="preserve"> d</w:t>
      </w:r>
      <w:r w:rsidR="00C731C7" w:rsidRPr="00C731C7">
        <w:rPr>
          <w:lang w:val="pt-BR"/>
        </w:rPr>
        <w:t>a</w:t>
      </w:r>
      <w:r w:rsidR="0085588B" w:rsidRPr="00C731C7">
        <w:rPr>
          <w:lang w:val="pt-BR"/>
        </w:rPr>
        <w:t xml:space="preserve"> Fl</w:t>
      </w:r>
      <w:r w:rsidR="00C731C7" w:rsidRPr="00C731C7">
        <w:rPr>
          <w:lang w:val="pt-BR"/>
        </w:rPr>
        <w:t>ó</w:t>
      </w:r>
      <w:r w:rsidR="0085588B" w:rsidRPr="00C731C7">
        <w:rPr>
          <w:lang w:val="pt-BR"/>
        </w:rPr>
        <w:t xml:space="preserve">rida </w:t>
      </w:r>
      <w:r w:rsidR="00C731C7" w:rsidRPr="00C731C7">
        <w:rPr>
          <w:lang w:val="pt-BR"/>
        </w:rPr>
        <w:t xml:space="preserve">e </w:t>
      </w:r>
      <w:r w:rsidR="0085588B" w:rsidRPr="00C731C7">
        <w:rPr>
          <w:lang w:val="pt-BR"/>
        </w:rPr>
        <w:t>19 estudantes de p</w:t>
      </w:r>
      <w:r w:rsidR="00C731C7" w:rsidRPr="00C731C7">
        <w:rPr>
          <w:lang w:val="pt-BR"/>
        </w:rPr>
        <w:t>ós-graduação</w:t>
      </w:r>
      <w:r w:rsidR="0085588B" w:rsidRPr="00C731C7">
        <w:rPr>
          <w:lang w:val="pt-BR"/>
        </w:rPr>
        <w:t xml:space="preserve">. </w:t>
      </w:r>
      <w:r w:rsidR="00C731C7" w:rsidRPr="00C731C7">
        <w:rPr>
          <w:lang w:val="pt-BR"/>
        </w:rPr>
        <w:t>Os participantes vieram do</w:t>
      </w:r>
      <w:r w:rsidR="0085588B" w:rsidRPr="00C731C7">
        <w:rPr>
          <w:lang w:val="pt-BR"/>
        </w:rPr>
        <w:t xml:space="preserve"> Brasil, Per</w:t>
      </w:r>
      <w:r w:rsidR="00C731C7" w:rsidRPr="00C731C7">
        <w:rPr>
          <w:lang w:val="pt-BR"/>
        </w:rPr>
        <w:t>u</w:t>
      </w:r>
      <w:r w:rsidR="0085588B" w:rsidRPr="00C731C7">
        <w:rPr>
          <w:lang w:val="pt-BR"/>
        </w:rPr>
        <w:t>, E</w:t>
      </w:r>
      <w:r w:rsidR="00C731C7" w:rsidRPr="00C731C7">
        <w:rPr>
          <w:lang w:val="pt-BR"/>
        </w:rPr>
        <w:t>q</w:t>
      </w:r>
      <w:r w:rsidR="0085588B" w:rsidRPr="00C731C7">
        <w:rPr>
          <w:lang w:val="pt-BR"/>
        </w:rPr>
        <w:t>uador, Bol</w:t>
      </w:r>
      <w:r w:rsidR="00C731C7" w:rsidRPr="00C731C7">
        <w:rPr>
          <w:lang w:val="pt-BR"/>
        </w:rPr>
        <w:t>í</w:t>
      </w:r>
      <w:r w:rsidR="0085588B" w:rsidRPr="00C731C7">
        <w:rPr>
          <w:lang w:val="pt-BR"/>
        </w:rPr>
        <w:t xml:space="preserve">via </w:t>
      </w:r>
      <w:r w:rsidR="00C731C7" w:rsidRPr="00C731C7">
        <w:rPr>
          <w:lang w:val="pt-BR"/>
        </w:rPr>
        <w:t>e</w:t>
      </w:r>
      <w:r w:rsidR="0085588B" w:rsidRPr="00C731C7">
        <w:rPr>
          <w:lang w:val="pt-BR"/>
        </w:rPr>
        <w:t xml:space="preserve"> Col</w:t>
      </w:r>
      <w:r w:rsidR="00C731C7" w:rsidRPr="00C731C7">
        <w:rPr>
          <w:lang w:val="pt-BR"/>
        </w:rPr>
        <w:t>ô</w:t>
      </w:r>
      <w:r w:rsidR="0085588B" w:rsidRPr="00C731C7">
        <w:rPr>
          <w:lang w:val="pt-BR"/>
        </w:rPr>
        <w:t xml:space="preserve">mbia. </w:t>
      </w:r>
      <w:r w:rsidR="00C731C7" w:rsidRPr="00C731C7">
        <w:rPr>
          <w:lang w:val="pt-BR"/>
        </w:rPr>
        <w:t xml:space="preserve">A oficina foi um momento chave em um processo contínuo de aprendizagem por experiência e de promoção de novos rumos para estratégias de conservação. </w:t>
      </w:r>
    </w:p>
    <w:p w14:paraId="26017C70" w14:textId="77777777" w:rsidR="00CD5A26" w:rsidRDefault="005F25E0" w:rsidP="00CD5A26">
      <w:pPr>
        <w:ind w:firstLine="720"/>
        <w:jc w:val="both"/>
        <w:rPr>
          <w:lang w:val="pt-BR"/>
        </w:rPr>
      </w:pPr>
      <w:r>
        <w:rPr>
          <w:lang w:val="pt-BR"/>
        </w:rPr>
        <w:t xml:space="preserve">Antes da oficina, 12 grupos de trabalho, formados pelos participantes, revisaram o uso e o desenvolvimento de ferramentas e estratégias de conservação atualmente, sob o tópico mais amplo de </w:t>
      </w:r>
      <w:r w:rsidRPr="00CD5A26">
        <w:rPr>
          <w:b/>
          <w:lang w:val="pt-BR"/>
        </w:rPr>
        <w:t>Estratégias de Conhecimento e Negociação para a Governança Ambiental na Amazônia</w:t>
      </w:r>
      <w:r>
        <w:rPr>
          <w:lang w:val="pt-BR"/>
        </w:rPr>
        <w:t xml:space="preserve">. Nove grupos de trabalho avaliaram como ferramentas e estratégias de </w:t>
      </w:r>
      <w:r w:rsidRPr="00CD5A26">
        <w:rPr>
          <w:i/>
          <w:lang w:val="pt-BR"/>
        </w:rPr>
        <w:t>conhecimento e aprendiza</w:t>
      </w:r>
      <w:r w:rsidR="00CD5A26" w:rsidRPr="00CD5A26">
        <w:rPr>
          <w:i/>
          <w:lang w:val="pt-BR"/>
        </w:rPr>
        <w:t>gem</w:t>
      </w:r>
      <w:r>
        <w:rPr>
          <w:lang w:val="pt-BR"/>
        </w:rPr>
        <w:t xml:space="preserve"> são atualmente aplicadas, e observaram lacunas e oportunidades para aplicações futuras. Três grupos desenvolveram estudos de caso de </w:t>
      </w:r>
      <w:r w:rsidRPr="00CD5A26">
        <w:rPr>
          <w:i/>
          <w:lang w:val="pt-BR"/>
        </w:rPr>
        <w:t>negociações para governança</w:t>
      </w:r>
      <w:r>
        <w:rPr>
          <w:lang w:val="pt-BR"/>
        </w:rPr>
        <w:t xml:space="preserve"> que </w:t>
      </w:r>
      <w:r w:rsidR="00CD5A26">
        <w:rPr>
          <w:lang w:val="pt-BR"/>
        </w:rPr>
        <w:t xml:space="preserve">visam uma gestão mais inclusiva e efetiva de impactos ambientais negativos enquanto apoiam economias locais diversificadas e mosaicos de conservação. </w:t>
      </w:r>
      <w:r>
        <w:rPr>
          <w:lang w:val="pt-BR"/>
        </w:rPr>
        <w:t xml:space="preserve"> </w:t>
      </w:r>
    </w:p>
    <w:p w14:paraId="2FDB99DE" w14:textId="77777777" w:rsidR="0042207B" w:rsidRDefault="00CD5A26" w:rsidP="00CD5A26">
      <w:pPr>
        <w:ind w:firstLine="720"/>
        <w:jc w:val="both"/>
        <w:rPr>
          <w:lang w:val="pt-BR"/>
        </w:rPr>
      </w:pPr>
      <w:r>
        <w:rPr>
          <w:lang w:val="pt-BR"/>
        </w:rPr>
        <w:t xml:space="preserve">Todos os estudos de caso de governança negocial deixaram claro que os fatores determinantes </w:t>
      </w:r>
      <w:r w:rsidR="0042207B">
        <w:rPr>
          <w:lang w:val="pt-BR"/>
        </w:rPr>
        <w:t xml:space="preserve">primordiais </w:t>
      </w:r>
      <w:r>
        <w:rPr>
          <w:lang w:val="pt-BR"/>
        </w:rPr>
        <w:t xml:space="preserve">da tomada de decisão não são critérios </w:t>
      </w:r>
      <w:proofErr w:type="gramStart"/>
      <w:r>
        <w:rPr>
          <w:lang w:val="pt-BR"/>
        </w:rPr>
        <w:t>técnicos</w:t>
      </w:r>
      <w:proofErr w:type="gramEnd"/>
      <w:r>
        <w:rPr>
          <w:lang w:val="pt-BR"/>
        </w:rPr>
        <w:t xml:space="preserve"> mas sim interesses de organizações poderosas que </w:t>
      </w:r>
      <w:r w:rsidR="0042207B">
        <w:rPr>
          <w:lang w:val="pt-BR"/>
        </w:rPr>
        <w:t xml:space="preserve">se beneficiam do uso intensivo e da industrialização dos ecossistemas amazônicos. As populações impactadas, assim como as agências ambientais, as ONGs e as universidades podem potencialmente servir como contraponto a esses atores poderosos.  </w:t>
      </w:r>
      <w:r w:rsidR="005F25E0">
        <w:rPr>
          <w:lang w:val="pt-BR"/>
        </w:rPr>
        <w:t xml:space="preserve">  </w:t>
      </w:r>
    </w:p>
    <w:p w14:paraId="56BC176F" w14:textId="171F81DA" w:rsidR="005F25E0" w:rsidRDefault="0042207B" w:rsidP="00CD5A26">
      <w:pPr>
        <w:ind w:firstLine="720"/>
        <w:jc w:val="both"/>
        <w:rPr>
          <w:lang w:val="pt-BR"/>
        </w:rPr>
      </w:pPr>
      <w:r>
        <w:rPr>
          <w:lang w:val="pt-BR"/>
        </w:rPr>
        <w:t>Uma estratégia de conservação efetiva deve</w:t>
      </w:r>
      <w:r w:rsidR="000C4A91">
        <w:rPr>
          <w:lang w:val="pt-BR"/>
        </w:rPr>
        <w:t>,</w:t>
      </w:r>
      <w:r>
        <w:rPr>
          <w:lang w:val="pt-BR"/>
        </w:rPr>
        <w:t xml:space="preserve"> portanto</w:t>
      </w:r>
      <w:r w:rsidR="000C4A91">
        <w:rPr>
          <w:lang w:val="pt-BR"/>
        </w:rPr>
        <w:t>,</w:t>
      </w:r>
      <w:r>
        <w:rPr>
          <w:lang w:val="pt-BR"/>
        </w:rPr>
        <w:t xml:space="preserve"> levar em conta tanto a informação quanto o conhecimento como insumos essenciais, e dinâmicas de poder como </w:t>
      </w:r>
      <w:proofErr w:type="gramStart"/>
      <w:r>
        <w:rPr>
          <w:lang w:val="pt-BR"/>
        </w:rPr>
        <w:t>um determinante chave</w:t>
      </w:r>
      <w:proofErr w:type="gramEnd"/>
      <w:r>
        <w:rPr>
          <w:lang w:val="pt-BR"/>
        </w:rPr>
        <w:t xml:space="preserve">, enquanto integra atores sociais em </w:t>
      </w:r>
      <w:r w:rsidR="00736163">
        <w:rPr>
          <w:lang w:val="pt-BR"/>
        </w:rPr>
        <w:t xml:space="preserve">diferentes escalas da tomada de decisão que podem afetar resultados de conservação. A Oficina produziu recomendações práticas nas áreas de </w:t>
      </w:r>
      <w:r w:rsidR="00736163" w:rsidRPr="00736163">
        <w:rPr>
          <w:b/>
          <w:lang w:val="pt-BR"/>
        </w:rPr>
        <w:t xml:space="preserve">gestão do conhecimento, empoderamento de atores locais para influenciar o planejamento de infraestrutura e a gestão territorial, estratégias de negociação para </w:t>
      </w:r>
      <w:r w:rsidR="00736163">
        <w:rPr>
          <w:b/>
          <w:lang w:val="pt-BR"/>
        </w:rPr>
        <w:t>enfrentar</w:t>
      </w:r>
      <w:r w:rsidR="00736163" w:rsidRPr="00736163">
        <w:rPr>
          <w:b/>
          <w:lang w:val="pt-BR"/>
        </w:rPr>
        <w:t xml:space="preserve"> relações desiguais de poder, e aprendizagem e adaptação</w:t>
      </w:r>
      <w:r w:rsidR="00736163">
        <w:rPr>
          <w:lang w:val="pt-BR"/>
        </w:rPr>
        <w:t xml:space="preserve">. </w:t>
      </w:r>
      <w:r>
        <w:rPr>
          <w:lang w:val="pt-BR"/>
        </w:rPr>
        <w:t xml:space="preserve"> </w:t>
      </w:r>
      <w:r w:rsidR="005F25E0">
        <w:rPr>
          <w:lang w:val="pt-BR"/>
        </w:rPr>
        <w:t xml:space="preserve"> </w:t>
      </w:r>
    </w:p>
    <w:p w14:paraId="5AD6301A" w14:textId="3EE22AFF" w:rsidR="00891A11" w:rsidRDefault="00736163" w:rsidP="00CD5A26">
      <w:pPr>
        <w:ind w:firstLine="720"/>
        <w:jc w:val="both"/>
        <w:rPr>
          <w:lang w:val="pt-BR"/>
        </w:rPr>
      </w:pPr>
      <w:r>
        <w:rPr>
          <w:b/>
          <w:lang w:val="pt-BR"/>
        </w:rPr>
        <w:t xml:space="preserve">Gestão do conhecimento: </w:t>
      </w:r>
      <w:r>
        <w:rPr>
          <w:lang w:val="pt-BR"/>
        </w:rPr>
        <w:t>Houve um entendimento comum entre os participantes da oficina que conhecimento e informação são importantes insumos para governa</w:t>
      </w:r>
      <w:r w:rsidR="00891A11">
        <w:rPr>
          <w:lang w:val="pt-BR"/>
        </w:rPr>
        <w:t>nça, mas que resultados científicos não têm sido comunicados efetivamente como deveriam para gerar resultados apropriados na tomada de decisão. As seguintes oportunidades para melhorar a relevância e a aplicabilidade da informação científica foram identificad</w:t>
      </w:r>
      <w:r w:rsidR="00BD4C83">
        <w:rPr>
          <w:lang w:val="pt-BR"/>
        </w:rPr>
        <w:t>a</w:t>
      </w:r>
      <w:r w:rsidR="00891A11">
        <w:rPr>
          <w:lang w:val="pt-BR"/>
        </w:rPr>
        <w:t xml:space="preserve">s: </w:t>
      </w:r>
    </w:p>
    <w:p w14:paraId="0D19FE83" w14:textId="0636B92F" w:rsidR="00736163" w:rsidRPr="00B3137D" w:rsidRDefault="00891A11" w:rsidP="00CD5A26">
      <w:pPr>
        <w:ind w:firstLine="720"/>
        <w:jc w:val="both"/>
        <w:rPr>
          <w:i/>
          <w:lang w:val="pt-BR"/>
        </w:rPr>
      </w:pPr>
      <w:r w:rsidRPr="00B3137D">
        <w:rPr>
          <w:i/>
          <w:lang w:val="pt-BR"/>
        </w:rPr>
        <w:lastRenderedPageBreak/>
        <w:t xml:space="preserve">Incorporar as partes interessadas na geração e aplicação do conhecimento através da ciência cidadã e da pesquisa-ação participativa. </w:t>
      </w:r>
    </w:p>
    <w:p w14:paraId="7C6AF951" w14:textId="334F6957" w:rsidR="00891A11" w:rsidRPr="00B3137D" w:rsidRDefault="00891A11" w:rsidP="00CD5A26">
      <w:pPr>
        <w:ind w:firstLine="720"/>
        <w:jc w:val="both"/>
        <w:rPr>
          <w:i/>
          <w:lang w:val="pt-BR"/>
        </w:rPr>
      </w:pPr>
      <w:r w:rsidRPr="00B3137D">
        <w:rPr>
          <w:i/>
          <w:lang w:val="pt-BR"/>
        </w:rPr>
        <w:t>Usar dados de novas ferramentas de monitoramento biofísico para promover transparência e responsabilização dos tomadores de decisão</w:t>
      </w:r>
      <w:r w:rsidR="00BD4C83">
        <w:rPr>
          <w:i/>
          <w:lang w:val="pt-BR"/>
        </w:rPr>
        <w:t xml:space="preserve"> para a prestação de contas</w:t>
      </w:r>
      <w:r w:rsidRPr="00B3137D">
        <w:rPr>
          <w:i/>
          <w:lang w:val="pt-BR"/>
        </w:rPr>
        <w:t xml:space="preserve">. </w:t>
      </w:r>
    </w:p>
    <w:p w14:paraId="5F272256" w14:textId="77777777" w:rsidR="008D517A" w:rsidRPr="00B3137D" w:rsidRDefault="00891A11" w:rsidP="00CD5A26">
      <w:pPr>
        <w:ind w:firstLine="720"/>
        <w:jc w:val="both"/>
        <w:rPr>
          <w:i/>
          <w:lang w:val="pt-BR"/>
        </w:rPr>
      </w:pPr>
      <w:r w:rsidRPr="00B3137D">
        <w:rPr>
          <w:i/>
          <w:lang w:val="pt-BR"/>
        </w:rPr>
        <w:t xml:space="preserve">Desenvolver novas ferramentas para preencher lacunas no monitoramento e na transparência </w:t>
      </w:r>
      <w:r w:rsidR="002B454D" w:rsidRPr="00B3137D">
        <w:rPr>
          <w:i/>
          <w:lang w:val="pt-BR"/>
        </w:rPr>
        <w:t>do planejamento</w:t>
      </w:r>
      <w:r w:rsidR="008D517A" w:rsidRPr="00B3137D">
        <w:rPr>
          <w:i/>
          <w:lang w:val="pt-BR"/>
        </w:rPr>
        <w:t xml:space="preserve"> governamental</w:t>
      </w:r>
      <w:r w:rsidR="002B454D" w:rsidRPr="00B3137D">
        <w:rPr>
          <w:i/>
          <w:lang w:val="pt-BR"/>
        </w:rPr>
        <w:t>, da tomada de decisão</w:t>
      </w:r>
      <w:r w:rsidR="008D517A" w:rsidRPr="00B3137D">
        <w:rPr>
          <w:i/>
          <w:lang w:val="pt-BR"/>
        </w:rPr>
        <w:t>, dos orçamentos, dos licenciamentos e do cumprimento das leis.</w:t>
      </w:r>
    </w:p>
    <w:p w14:paraId="0DF66BC9" w14:textId="4F98FFD3" w:rsidR="00891A11" w:rsidRPr="00B3137D" w:rsidRDefault="008D517A" w:rsidP="00CD5A26">
      <w:pPr>
        <w:ind w:firstLine="720"/>
        <w:jc w:val="both"/>
        <w:rPr>
          <w:i/>
          <w:lang w:val="pt-BR"/>
        </w:rPr>
      </w:pPr>
      <w:r w:rsidRPr="00B3137D">
        <w:rPr>
          <w:i/>
          <w:lang w:val="pt-BR"/>
        </w:rPr>
        <w:t xml:space="preserve">Utilizar uma abordagem sistêmica para entender as dinâmicas atuais e projetadas das paisagens amazônicas, incluindo a interação de causas de múltiplos níveis e impactos cumulativos e indiretos.  </w:t>
      </w:r>
      <w:r w:rsidR="00891A11" w:rsidRPr="00B3137D">
        <w:rPr>
          <w:i/>
          <w:lang w:val="pt-BR"/>
        </w:rPr>
        <w:t xml:space="preserve"> </w:t>
      </w:r>
    </w:p>
    <w:p w14:paraId="739286AC" w14:textId="73CBD365" w:rsidR="005F25E0" w:rsidRPr="00B3137D" w:rsidRDefault="00B3137D" w:rsidP="0085588B">
      <w:pPr>
        <w:jc w:val="both"/>
        <w:rPr>
          <w:lang w:val="pt-BR"/>
        </w:rPr>
      </w:pPr>
      <w:r>
        <w:rPr>
          <w:lang w:val="pt-BR"/>
        </w:rPr>
        <w:tab/>
      </w:r>
      <w:r>
        <w:rPr>
          <w:b/>
          <w:lang w:val="pt-BR"/>
        </w:rPr>
        <w:t xml:space="preserve">Empoderamento de atores locais para influenciar o planejamento de infraestrutura e a gestão territorial: </w:t>
      </w:r>
      <w:r>
        <w:rPr>
          <w:lang w:val="pt-BR"/>
        </w:rPr>
        <w:t xml:space="preserve">Um tema recorrente que emergiu de todos os estudos de casos de governança negocial foi a insuficiência de oportunidades para </w:t>
      </w:r>
      <w:r w:rsidR="00BD4C83">
        <w:rPr>
          <w:lang w:val="pt-BR"/>
        </w:rPr>
        <w:t xml:space="preserve">a </w:t>
      </w:r>
      <w:r>
        <w:rPr>
          <w:lang w:val="pt-BR"/>
        </w:rPr>
        <w:t xml:space="preserve">participação dos atores afetados nos processos de planejamento. Especialmente notável </w:t>
      </w:r>
      <w:r w:rsidR="00EB67B9">
        <w:rPr>
          <w:lang w:val="pt-BR"/>
        </w:rPr>
        <w:t xml:space="preserve">foi a ausência de participação de atores nos estágios iniciais de tomada de decisão sobre projetos de infraestrutura e políticas econômicas que afetam a exploração de recursos naturais. Abordagens para planejamento e governança tais como o planejamento de cenário, a ciência cidadã, </w:t>
      </w:r>
      <w:r w:rsidR="00834D5C">
        <w:rPr>
          <w:lang w:val="pt-BR"/>
        </w:rPr>
        <w:t xml:space="preserve">a </w:t>
      </w:r>
      <w:r w:rsidR="00EB67B9">
        <w:rPr>
          <w:lang w:val="pt-BR"/>
        </w:rPr>
        <w:t xml:space="preserve">integração de conhecimento indígena e científico, e </w:t>
      </w:r>
      <w:r w:rsidR="00834D5C">
        <w:rPr>
          <w:lang w:val="pt-BR"/>
        </w:rPr>
        <w:t xml:space="preserve">as </w:t>
      </w:r>
      <w:r w:rsidR="00EB67B9">
        <w:rPr>
          <w:lang w:val="pt-BR"/>
        </w:rPr>
        <w:t>redes colaborativas</w:t>
      </w:r>
      <w:r w:rsidR="00834D5C">
        <w:rPr>
          <w:lang w:val="pt-BR"/>
        </w:rPr>
        <w:t xml:space="preserve">, todas </w:t>
      </w:r>
      <w:r w:rsidR="00EB67B9">
        <w:rPr>
          <w:lang w:val="pt-BR"/>
        </w:rPr>
        <w:t>podem empoderar as partes interessadas para compartilhar</w:t>
      </w:r>
      <w:r w:rsidR="00834D5C">
        <w:rPr>
          <w:lang w:val="pt-BR"/>
        </w:rPr>
        <w:t>em</w:t>
      </w:r>
      <w:r w:rsidR="00EB67B9">
        <w:rPr>
          <w:lang w:val="pt-BR"/>
        </w:rPr>
        <w:t xml:space="preserve"> seu conhecimento, aprender umas com as outras, tomar decisões conjuntamente com base em mais informação, e adaptar suas estratégias com base em resultados iniciais. Recomendações específicas: </w:t>
      </w:r>
      <w:r>
        <w:rPr>
          <w:lang w:val="pt-BR"/>
        </w:rPr>
        <w:t xml:space="preserve"> </w:t>
      </w:r>
    </w:p>
    <w:p w14:paraId="6F22B9FB" w14:textId="64D720A7" w:rsidR="00736163" w:rsidRPr="004952D7" w:rsidRDefault="00834D5C" w:rsidP="0085588B">
      <w:pPr>
        <w:jc w:val="both"/>
        <w:rPr>
          <w:i/>
          <w:lang w:val="pt-BR"/>
        </w:rPr>
      </w:pPr>
      <w:r>
        <w:rPr>
          <w:lang w:val="pt-BR"/>
        </w:rPr>
        <w:tab/>
      </w:r>
      <w:r w:rsidRPr="004952D7">
        <w:rPr>
          <w:i/>
          <w:lang w:val="pt-BR"/>
        </w:rPr>
        <w:t xml:space="preserve">Formar capital social e empoderar atores locais para participar na tomada de decisão através de processos participativos de desenvolvimento de visão e aprendizagem social. </w:t>
      </w:r>
    </w:p>
    <w:p w14:paraId="2C0CA380" w14:textId="0BC2192F" w:rsidR="00834D5C" w:rsidRPr="004952D7" w:rsidRDefault="00834D5C" w:rsidP="0085588B">
      <w:pPr>
        <w:jc w:val="both"/>
        <w:rPr>
          <w:i/>
          <w:lang w:val="pt-BR"/>
        </w:rPr>
      </w:pPr>
      <w:r w:rsidRPr="004952D7">
        <w:rPr>
          <w:i/>
          <w:lang w:val="pt-BR"/>
        </w:rPr>
        <w:tab/>
        <w:t>Unir a el</w:t>
      </w:r>
      <w:r w:rsidR="001D21A4" w:rsidRPr="004952D7">
        <w:rPr>
          <w:i/>
          <w:lang w:val="pt-BR"/>
        </w:rPr>
        <w:t>a</w:t>
      </w:r>
      <w:r w:rsidRPr="004952D7">
        <w:rPr>
          <w:i/>
          <w:lang w:val="pt-BR"/>
        </w:rPr>
        <w:t>boração de modelos, a construção de cenários e o monitoramento em processos contínuos e participativos de aprendizagem social</w:t>
      </w:r>
      <w:r w:rsidR="001D21A4" w:rsidRPr="004952D7">
        <w:rPr>
          <w:i/>
          <w:lang w:val="pt-BR"/>
        </w:rPr>
        <w:t xml:space="preserve"> que subsidiem as decisões de planejamento e gestão territorial. </w:t>
      </w:r>
      <w:r w:rsidRPr="004952D7">
        <w:rPr>
          <w:i/>
          <w:lang w:val="pt-BR"/>
        </w:rPr>
        <w:t xml:space="preserve"> </w:t>
      </w:r>
    </w:p>
    <w:p w14:paraId="304CDA4B" w14:textId="51B12BC0" w:rsidR="001D21A4" w:rsidRPr="004952D7" w:rsidRDefault="001D21A4" w:rsidP="0085588B">
      <w:pPr>
        <w:jc w:val="both"/>
        <w:rPr>
          <w:i/>
          <w:lang w:val="pt-BR"/>
        </w:rPr>
      </w:pPr>
      <w:r w:rsidRPr="004952D7">
        <w:rPr>
          <w:i/>
          <w:lang w:val="pt-BR"/>
        </w:rPr>
        <w:tab/>
        <w:t xml:space="preserve">Reconhecer o papel chave dos povos indígenas e comunidades locais na conservação da Amazônia e investir na gestão territorial e empoderamento de povos indígenas e comunidades locais como gestores da terra.  </w:t>
      </w:r>
    </w:p>
    <w:p w14:paraId="7868F0B0" w14:textId="77777777" w:rsidR="00D2303F" w:rsidRPr="00D2303F" w:rsidRDefault="00985B67" w:rsidP="0085588B">
      <w:pPr>
        <w:jc w:val="both"/>
      </w:pPr>
      <w:r>
        <w:rPr>
          <w:lang w:val="pt-BR"/>
        </w:rPr>
        <w:tab/>
      </w:r>
      <w:r w:rsidRPr="00985B67">
        <w:rPr>
          <w:b/>
          <w:lang w:val="pt-BR"/>
        </w:rPr>
        <w:t>Estratégias de negociação para e</w:t>
      </w:r>
      <w:r>
        <w:rPr>
          <w:b/>
          <w:lang w:val="pt-BR"/>
        </w:rPr>
        <w:t xml:space="preserve">nfrentar relações de poder desiguais: </w:t>
      </w:r>
      <w:r>
        <w:rPr>
          <w:lang w:val="pt-BR"/>
        </w:rPr>
        <w:t>Um desafio c</w:t>
      </w:r>
      <w:r w:rsidR="00BC27F6">
        <w:rPr>
          <w:lang w:val="pt-BR"/>
        </w:rPr>
        <w:t>have</w:t>
      </w:r>
      <w:r>
        <w:rPr>
          <w:lang w:val="pt-BR"/>
        </w:rPr>
        <w:t xml:space="preserve"> é identificar </w:t>
      </w:r>
      <w:r w:rsidR="00BC27F6">
        <w:rPr>
          <w:lang w:val="pt-BR"/>
        </w:rPr>
        <w:t xml:space="preserve">estratégias </w:t>
      </w:r>
      <w:r>
        <w:rPr>
          <w:lang w:val="pt-BR"/>
        </w:rPr>
        <w:t>políticas</w:t>
      </w:r>
      <w:r w:rsidR="00BC27F6">
        <w:rPr>
          <w:lang w:val="pt-BR"/>
        </w:rPr>
        <w:t xml:space="preserve"> que permitam que as partes interessadas, tais como populações impactadas, agências ambientais, ONGs e universidades, possam envolver atores hegemônicos em negociações para uma melhor governança ambiental. Abordagens promissoras que foram exploradas durante a oficina incluem: uma estratégia baseada no conhecimento para  disseminar informação sobre custos e benefícios de iniciativas de desenvolvimento; estratégias de comunicação para </w:t>
      </w:r>
      <w:r w:rsidR="00A00992">
        <w:rPr>
          <w:lang w:val="pt-BR"/>
        </w:rPr>
        <w:t xml:space="preserve">formar grupos de apoio político e econômico mais amplos, especialmente em áreas urbanas onde a maioria dos cidadãos vive; construção de capacidades entre atores menos poderosos para dar-lhes melhores condições de negociação; estratégias jurídicas; e mobilização política. </w:t>
      </w:r>
      <w:proofErr w:type="spellStart"/>
      <w:r w:rsidR="00E83541" w:rsidRPr="00D2303F">
        <w:t>Recomendações</w:t>
      </w:r>
      <w:proofErr w:type="spellEnd"/>
      <w:r w:rsidR="00E83541" w:rsidRPr="00D2303F">
        <w:t xml:space="preserve"> </w:t>
      </w:r>
      <w:proofErr w:type="spellStart"/>
      <w:r w:rsidR="00E83541" w:rsidRPr="00D2303F">
        <w:t>específicas</w:t>
      </w:r>
      <w:proofErr w:type="spellEnd"/>
      <w:r w:rsidR="00E83541" w:rsidRPr="00D2303F">
        <w:t xml:space="preserve">: </w:t>
      </w:r>
      <w:r w:rsidR="00A00992" w:rsidRPr="00D2303F">
        <w:t xml:space="preserve">   </w:t>
      </w:r>
      <w:r w:rsidR="00BC27F6" w:rsidRPr="00D2303F">
        <w:t xml:space="preserve"> </w:t>
      </w:r>
    </w:p>
    <w:p w14:paraId="78A08165" w14:textId="77777777" w:rsidR="00D2303F" w:rsidRDefault="00D2303F" w:rsidP="0085588B">
      <w:pPr>
        <w:jc w:val="both"/>
        <w:rPr>
          <w:i/>
          <w:lang w:val="pt-BR"/>
        </w:rPr>
      </w:pPr>
      <w:r>
        <w:lastRenderedPageBreak/>
        <w:tab/>
      </w:r>
      <w:r w:rsidRPr="00D2303F">
        <w:rPr>
          <w:i/>
          <w:lang w:val="pt-BR"/>
        </w:rPr>
        <w:t>Construir capacidades na sociedade civil para relacionar-se com</w:t>
      </w:r>
      <w:r>
        <w:rPr>
          <w:i/>
          <w:lang w:val="pt-BR"/>
        </w:rPr>
        <w:t xml:space="preserve"> os sistemas jurídicos. Envolver promotores, juízes e outras autoridades legais. </w:t>
      </w:r>
    </w:p>
    <w:p w14:paraId="55FB5453" w14:textId="77777777" w:rsidR="00D2303F" w:rsidRDefault="00D2303F" w:rsidP="0085588B">
      <w:pPr>
        <w:jc w:val="both"/>
        <w:rPr>
          <w:i/>
          <w:lang w:val="pt-BR"/>
        </w:rPr>
      </w:pPr>
      <w:r>
        <w:rPr>
          <w:i/>
          <w:lang w:val="pt-BR"/>
        </w:rPr>
        <w:tab/>
        <w:t>Formar coalizões de redes, grupos e instituições em diferentes escalas, incluindo organizações de base e comunidades religiosas. Fortalecer essas coalizões através de capacitação e informação.</w:t>
      </w:r>
    </w:p>
    <w:p w14:paraId="14E85140" w14:textId="5B36DAFF" w:rsidR="00985B67" w:rsidRPr="00D2303F" w:rsidRDefault="00D2303F" w:rsidP="0085588B">
      <w:pPr>
        <w:jc w:val="both"/>
        <w:rPr>
          <w:lang w:val="pt-BR"/>
        </w:rPr>
      </w:pPr>
      <w:r>
        <w:rPr>
          <w:i/>
          <w:lang w:val="pt-BR"/>
        </w:rPr>
        <w:tab/>
        <w:t>Fortalecer conexões urbano-rurais para construir grupos de apoio político e econômico que possa</w:t>
      </w:r>
      <w:r w:rsidR="00846557">
        <w:rPr>
          <w:i/>
          <w:lang w:val="pt-BR"/>
        </w:rPr>
        <w:t>m</w:t>
      </w:r>
      <w:r>
        <w:rPr>
          <w:i/>
          <w:lang w:val="pt-BR"/>
        </w:rPr>
        <w:t xml:space="preserve"> pressionar autoridades eleitas</w:t>
      </w:r>
      <w:r w:rsidR="00846557">
        <w:rPr>
          <w:i/>
          <w:lang w:val="pt-BR"/>
        </w:rPr>
        <w:t xml:space="preserve"> e empresas para a conservação e o desenvolvimento. </w:t>
      </w:r>
      <w:r>
        <w:rPr>
          <w:i/>
          <w:lang w:val="pt-BR"/>
        </w:rPr>
        <w:t xml:space="preserve">    </w:t>
      </w:r>
      <w:r w:rsidR="00BC27F6" w:rsidRPr="00D2303F">
        <w:rPr>
          <w:lang w:val="pt-BR"/>
        </w:rPr>
        <w:t xml:space="preserve"> </w:t>
      </w:r>
      <w:r w:rsidR="00985B67" w:rsidRPr="00D2303F">
        <w:rPr>
          <w:lang w:val="pt-BR"/>
        </w:rPr>
        <w:t xml:space="preserve"> </w:t>
      </w:r>
    </w:p>
    <w:p w14:paraId="4885BCAC" w14:textId="6D79B1EA" w:rsidR="00846557" w:rsidRDefault="00846557" w:rsidP="00846557">
      <w:pPr>
        <w:pStyle w:val="Pa1"/>
        <w:ind w:firstLine="540"/>
        <w:jc w:val="both"/>
        <w:rPr>
          <w:color w:val="000000"/>
          <w:sz w:val="23"/>
          <w:szCs w:val="23"/>
        </w:rPr>
      </w:pPr>
      <w:r w:rsidRPr="00846557">
        <w:rPr>
          <w:b/>
          <w:bCs/>
          <w:color w:val="000000"/>
          <w:sz w:val="23"/>
          <w:szCs w:val="23"/>
        </w:rPr>
        <w:t>Aprendizagem e adaptação</w:t>
      </w:r>
      <w:r w:rsidRPr="00846557">
        <w:rPr>
          <w:b/>
          <w:bCs/>
          <w:color w:val="000000"/>
          <w:sz w:val="23"/>
          <w:szCs w:val="23"/>
        </w:rPr>
        <w:t xml:space="preserve">: </w:t>
      </w:r>
      <w:r w:rsidRPr="00846557">
        <w:rPr>
          <w:bCs/>
          <w:color w:val="000000"/>
          <w:sz w:val="23"/>
          <w:szCs w:val="23"/>
        </w:rPr>
        <w:t xml:space="preserve">Os defensores da </w:t>
      </w:r>
      <w:r>
        <w:rPr>
          <w:bCs/>
          <w:color w:val="000000"/>
          <w:sz w:val="23"/>
          <w:szCs w:val="23"/>
        </w:rPr>
        <w:t>conservação e agentes de mudança (ONGs, movimentos sociais, academia)</w:t>
      </w:r>
      <w:r w:rsidRPr="0084655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precisam continuamente aprender e se adaptar. </w:t>
      </w:r>
      <w:r w:rsidRPr="00846557">
        <w:rPr>
          <w:color w:val="000000"/>
          <w:sz w:val="23"/>
          <w:szCs w:val="23"/>
        </w:rPr>
        <w:t xml:space="preserve">Os programas e estratégias exitosos requerem flexibilidade e </w:t>
      </w:r>
      <w:r>
        <w:rPr>
          <w:color w:val="000000"/>
          <w:sz w:val="23"/>
          <w:szCs w:val="23"/>
        </w:rPr>
        <w:t xml:space="preserve">perspectiva de longo prazo. </w:t>
      </w:r>
    </w:p>
    <w:p w14:paraId="70AB5152" w14:textId="77777777" w:rsidR="00BD4C83" w:rsidRPr="00BD4C83" w:rsidRDefault="00BD4C83" w:rsidP="00BD4C83">
      <w:pPr>
        <w:pStyle w:val="Default"/>
      </w:pPr>
    </w:p>
    <w:p w14:paraId="63DCBCF4" w14:textId="775BA59B" w:rsidR="004D1FF8" w:rsidRDefault="008A6657" w:rsidP="008A6657">
      <w:pPr>
        <w:pStyle w:val="Default"/>
        <w:ind w:firstLine="540"/>
        <w:rPr>
          <w:i/>
        </w:rPr>
      </w:pPr>
      <w:r w:rsidRPr="008A6657">
        <w:rPr>
          <w:i/>
        </w:rPr>
        <w:t xml:space="preserve">Melhorar o monitoramento e a avaliação como uma ferramenta para </w:t>
      </w:r>
      <w:r>
        <w:rPr>
          <w:i/>
        </w:rPr>
        <w:t xml:space="preserve">fortalecer iniciativas de conservação e </w:t>
      </w:r>
      <w:r w:rsidR="004D1FF8">
        <w:rPr>
          <w:i/>
        </w:rPr>
        <w:t xml:space="preserve">desenvolvimento através da aprendizagem social e da adaptação. </w:t>
      </w:r>
    </w:p>
    <w:p w14:paraId="11ED1E07" w14:textId="77777777" w:rsidR="00BD4C83" w:rsidRDefault="00BD4C83" w:rsidP="008A6657">
      <w:pPr>
        <w:pStyle w:val="Default"/>
        <w:ind w:firstLine="540"/>
        <w:rPr>
          <w:i/>
        </w:rPr>
      </w:pPr>
    </w:p>
    <w:p w14:paraId="7E68D947" w14:textId="77777777" w:rsidR="00BD4C83" w:rsidRDefault="004D1FF8" w:rsidP="00BD4C83">
      <w:pPr>
        <w:pStyle w:val="Default"/>
        <w:ind w:firstLine="540"/>
        <w:jc w:val="both"/>
        <w:rPr>
          <w:i/>
        </w:rPr>
      </w:pPr>
      <w:r>
        <w:rPr>
          <w:i/>
        </w:rPr>
        <w:t>Promover a experimentação de políticas e a ação local para desenvolver e testar abordagens inovadoras.</w:t>
      </w:r>
    </w:p>
    <w:p w14:paraId="3155E571" w14:textId="50A5A99D" w:rsidR="004D1FF8" w:rsidRDefault="004D1FF8" w:rsidP="008A6657">
      <w:pPr>
        <w:pStyle w:val="Default"/>
        <w:ind w:firstLine="540"/>
        <w:rPr>
          <w:i/>
        </w:rPr>
      </w:pPr>
      <w:r>
        <w:rPr>
          <w:i/>
        </w:rPr>
        <w:t xml:space="preserve"> </w:t>
      </w:r>
    </w:p>
    <w:p w14:paraId="16331BBB" w14:textId="1764728E" w:rsidR="004D1FF8" w:rsidRDefault="004D1FF8" w:rsidP="00BD4C83">
      <w:pPr>
        <w:pStyle w:val="Default"/>
        <w:ind w:firstLine="540"/>
        <w:jc w:val="both"/>
        <w:rPr>
          <w:i/>
        </w:rPr>
      </w:pPr>
      <w:r>
        <w:rPr>
          <w:i/>
        </w:rPr>
        <w:t xml:space="preserve">Adaptar estratégias continuamente enquanto os contextos mudam e a aprendizagem ocorre. </w:t>
      </w:r>
    </w:p>
    <w:p w14:paraId="038B6B82" w14:textId="77777777" w:rsidR="00BD4C83" w:rsidRDefault="00BD4C83" w:rsidP="00BD4C83">
      <w:pPr>
        <w:pStyle w:val="Default"/>
        <w:ind w:firstLine="540"/>
        <w:jc w:val="both"/>
        <w:rPr>
          <w:i/>
        </w:rPr>
      </w:pPr>
    </w:p>
    <w:p w14:paraId="4A7B4908" w14:textId="77777777" w:rsidR="00BD4C83" w:rsidRDefault="004D1FF8" w:rsidP="00BD4C83">
      <w:pPr>
        <w:pStyle w:val="Default"/>
        <w:ind w:firstLine="540"/>
        <w:jc w:val="both"/>
      </w:pPr>
      <w:r>
        <w:t xml:space="preserve">Na conclusão da oficina, </w:t>
      </w:r>
      <w:r w:rsidRPr="004D1FF8">
        <w:rPr>
          <w:b/>
        </w:rPr>
        <w:t>os participantes formaram s</w:t>
      </w:r>
      <w:bookmarkStart w:id="0" w:name="_GoBack"/>
      <w:bookmarkEnd w:id="0"/>
      <w:r w:rsidRPr="004D1FF8">
        <w:rPr>
          <w:b/>
        </w:rPr>
        <w:t>eis grupos de trabalho para realizar atividades de seguimento</w:t>
      </w:r>
      <w:r>
        <w:t xml:space="preserve"> sobre os seguintes tópicos: </w:t>
      </w:r>
    </w:p>
    <w:p w14:paraId="22A92516" w14:textId="16A81D5D" w:rsidR="008A6657" w:rsidRPr="008A6657" w:rsidRDefault="004D1FF8" w:rsidP="008A6657">
      <w:pPr>
        <w:pStyle w:val="Default"/>
        <w:ind w:firstLine="540"/>
        <w:rPr>
          <w:i/>
        </w:rPr>
      </w:pPr>
      <w:r>
        <w:rPr>
          <w:i/>
        </w:rPr>
        <w:t xml:space="preserve"> </w:t>
      </w:r>
      <w:r w:rsidR="008A6657" w:rsidRPr="008A6657">
        <w:rPr>
          <w:i/>
        </w:rPr>
        <w:t xml:space="preserve"> </w:t>
      </w:r>
    </w:p>
    <w:p w14:paraId="70ADAE67" w14:textId="520898E2" w:rsidR="00BD4C83" w:rsidRDefault="00846557" w:rsidP="00846557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 w:rsidRPr="00BD4C83">
        <w:rPr>
          <w:sz w:val="23"/>
          <w:szCs w:val="23"/>
        </w:rPr>
        <w:t>Macrocoord</w:t>
      </w:r>
      <w:r w:rsidR="004D1FF8" w:rsidRPr="00BD4C83">
        <w:rPr>
          <w:sz w:val="23"/>
          <w:szCs w:val="23"/>
        </w:rPr>
        <w:t>enação para confrontar projetos de infraestrutura que ameaçam a Amazônia</w:t>
      </w:r>
      <w:r w:rsidRPr="00BD4C83">
        <w:rPr>
          <w:sz w:val="23"/>
          <w:szCs w:val="23"/>
        </w:rPr>
        <w:t xml:space="preserve">; </w:t>
      </w:r>
    </w:p>
    <w:p w14:paraId="26F5F13A" w14:textId="3FDF32D3" w:rsidR="00846557" w:rsidRPr="00BD4C83" w:rsidRDefault="004952D7" w:rsidP="00846557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 w:rsidRPr="00BD4C83">
        <w:rPr>
          <w:sz w:val="23"/>
          <w:szCs w:val="23"/>
        </w:rPr>
        <w:t xml:space="preserve">Inovação tecnológica para conectar o monitoramento com a ações </w:t>
      </w:r>
      <w:r w:rsidR="000C4A91" w:rsidRPr="00BD4C83">
        <w:rPr>
          <w:sz w:val="23"/>
          <w:szCs w:val="23"/>
        </w:rPr>
        <w:t>no terreno</w:t>
      </w:r>
      <w:r w:rsidR="00846557" w:rsidRPr="00BD4C83">
        <w:rPr>
          <w:sz w:val="23"/>
          <w:szCs w:val="23"/>
        </w:rPr>
        <w:t xml:space="preserve">; </w:t>
      </w:r>
    </w:p>
    <w:p w14:paraId="4434119E" w14:textId="634F7AF2" w:rsidR="00846557" w:rsidRPr="000C4A91" w:rsidRDefault="000C4A91" w:rsidP="00846557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 w:rsidRPr="000C4A91">
        <w:rPr>
          <w:sz w:val="23"/>
          <w:szCs w:val="23"/>
        </w:rPr>
        <w:t>Estratégias para empoderar povo indígenas e populações tradicionais para participar na tomada de decisão</w:t>
      </w:r>
      <w:r w:rsidR="00846557" w:rsidRPr="000C4A91">
        <w:rPr>
          <w:sz w:val="23"/>
          <w:szCs w:val="23"/>
        </w:rPr>
        <w:t xml:space="preserve">; </w:t>
      </w:r>
    </w:p>
    <w:p w14:paraId="1C94A22F" w14:textId="1DE09433" w:rsidR="00846557" w:rsidRPr="000C4A91" w:rsidRDefault="000C4A91" w:rsidP="00846557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 w:rsidRPr="000C4A91">
        <w:rPr>
          <w:sz w:val="23"/>
          <w:szCs w:val="23"/>
        </w:rPr>
        <w:t>Pesquisa para apoiar ações transformadoras</w:t>
      </w:r>
      <w:r w:rsidR="00846557" w:rsidRPr="000C4A91">
        <w:rPr>
          <w:sz w:val="23"/>
          <w:szCs w:val="23"/>
        </w:rPr>
        <w:t xml:space="preserve">; </w:t>
      </w:r>
    </w:p>
    <w:p w14:paraId="0D1E9901" w14:textId="661AC2E7" w:rsidR="00846557" w:rsidRPr="000C4A91" w:rsidRDefault="000C4A91" w:rsidP="00846557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 w:rsidRPr="000C4A91">
        <w:rPr>
          <w:sz w:val="23"/>
          <w:szCs w:val="23"/>
        </w:rPr>
        <w:t>Respostas a ameaças e oportunidades do processo de paz colombiano; e</w:t>
      </w:r>
      <w:r w:rsidR="00846557" w:rsidRPr="000C4A91">
        <w:rPr>
          <w:sz w:val="23"/>
          <w:szCs w:val="23"/>
        </w:rPr>
        <w:t xml:space="preserve"> </w:t>
      </w:r>
    </w:p>
    <w:p w14:paraId="635CEE1A" w14:textId="627225B1" w:rsidR="00231C6F" w:rsidRPr="000C4A91" w:rsidRDefault="000C4A91" w:rsidP="000C4A91">
      <w:pPr>
        <w:pStyle w:val="Default"/>
        <w:numPr>
          <w:ilvl w:val="0"/>
          <w:numId w:val="2"/>
        </w:numPr>
        <w:ind w:left="360" w:hanging="360"/>
        <w:jc w:val="both"/>
        <w:rPr>
          <w:rFonts w:ascii="TimesNewRomanPSMT" w:hAnsi="TimesNewRomanPSMT"/>
          <w:color w:val="242021"/>
        </w:rPr>
      </w:pPr>
      <w:r w:rsidRPr="000C4A91">
        <w:rPr>
          <w:sz w:val="23"/>
          <w:szCs w:val="23"/>
        </w:rPr>
        <w:t xml:space="preserve">Conexões entre a Amazônia rural e as cidades através da comunicação. </w:t>
      </w:r>
    </w:p>
    <w:p w14:paraId="501CE226" w14:textId="77777777" w:rsidR="000C4A91" w:rsidRPr="000C4A91" w:rsidRDefault="000C4A91" w:rsidP="000C4A91">
      <w:pPr>
        <w:pStyle w:val="Default"/>
        <w:ind w:left="360"/>
        <w:jc w:val="both"/>
        <w:rPr>
          <w:rFonts w:ascii="TimesNewRomanPSMT" w:hAnsi="TimesNewRomanPSMT"/>
          <w:color w:val="242021"/>
        </w:rPr>
      </w:pPr>
    </w:p>
    <w:sectPr w:rsidR="000C4A91" w:rsidRPr="000C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C4B76A"/>
    <w:multiLevelType w:val="hybridMultilevel"/>
    <w:tmpl w:val="FE3612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AB7964"/>
    <w:multiLevelType w:val="hybridMultilevel"/>
    <w:tmpl w:val="930A4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C5"/>
    <w:rsid w:val="00003FC1"/>
    <w:rsid w:val="00054A5F"/>
    <w:rsid w:val="000A4192"/>
    <w:rsid w:val="000B3CC5"/>
    <w:rsid w:val="000C181E"/>
    <w:rsid w:val="000C4A91"/>
    <w:rsid w:val="001913C7"/>
    <w:rsid w:val="001D21A4"/>
    <w:rsid w:val="00231C6F"/>
    <w:rsid w:val="0028631B"/>
    <w:rsid w:val="002B454D"/>
    <w:rsid w:val="002E243E"/>
    <w:rsid w:val="00300B43"/>
    <w:rsid w:val="00343429"/>
    <w:rsid w:val="00386859"/>
    <w:rsid w:val="003F11B9"/>
    <w:rsid w:val="0042207B"/>
    <w:rsid w:val="004952D7"/>
    <w:rsid w:val="004D1FF8"/>
    <w:rsid w:val="00516795"/>
    <w:rsid w:val="0057022A"/>
    <w:rsid w:val="005D76F2"/>
    <w:rsid w:val="005F25E0"/>
    <w:rsid w:val="006B28CA"/>
    <w:rsid w:val="006D2C79"/>
    <w:rsid w:val="006F1817"/>
    <w:rsid w:val="006F370C"/>
    <w:rsid w:val="00720A95"/>
    <w:rsid w:val="00736163"/>
    <w:rsid w:val="007A357A"/>
    <w:rsid w:val="007F5390"/>
    <w:rsid w:val="00834D5C"/>
    <w:rsid w:val="00846557"/>
    <w:rsid w:val="0085588B"/>
    <w:rsid w:val="00861628"/>
    <w:rsid w:val="00891A11"/>
    <w:rsid w:val="008A6657"/>
    <w:rsid w:val="008D517A"/>
    <w:rsid w:val="009320D9"/>
    <w:rsid w:val="00985B67"/>
    <w:rsid w:val="009A4B85"/>
    <w:rsid w:val="00A00992"/>
    <w:rsid w:val="00B225A8"/>
    <w:rsid w:val="00B3137D"/>
    <w:rsid w:val="00B47B0C"/>
    <w:rsid w:val="00BC27F6"/>
    <w:rsid w:val="00BD4C83"/>
    <w:rsid w:val="00C545FA"/>
    <w:rsid w:val="00C731C7"/>
    <w:rsid w:val="00C81B6F"/>
    <w:rsid w:val="00CD5A26"/>
    <w:rsid w:val="00D06444"/>
    <w:rsid w:val="00D2303F"/>
    <w:rsid w:val="00D317A5"/>
    <w:rsid w:val="00D82B80"/>
    <w:rsid w:val="00DA7625"/>
    <w:rsid w:val="00DC2E36"/>
    <w:rsid w:val="00E15457"/>
    <w:rsid w:val="00E83541"/>
    <w:rsid w:val="00EB67B9"/>
    <w:rsid w:val="00EC3FD4"/>
    <w:rsid w:val="00F61766"/>
    <w:rsid w:val="00F9610C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8DC6"/>
  <w15:chartTrackingRefBased/>
  <w15:docId w15:val="{6342490B-97A5-4081-AFD2-71DFBF95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88B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31C6F"/>
    <w:rPr>
      <w:rFonts w:ascii="Calibri-Bold" w:hAnsi="Calibri-Bold" w:hint="default"/>
      <w:b/>
      <w:bCs/>
      <w:i w:val="0"/>
      <w:iCs w:val="0"/>
      <w:color w:val="C25638"/>
      <w:sz w:val="44"/>
      <w:szCs w:val="44"/>
    </w:rPr>
  </w:style>
  <w:style w:type="character" w:customStyle="1" w:styleId="fontstyle21">
    <w:name w:val="fontstyle21"/>
    <w:basedOn w:val="Fontepargpadro"/>
    <w:rsid w:val="00231C6F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Fontepargpadro"/>
    <w:rsid w:val="00231C6F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Fontepargpadro"/>
    <w:rsid w:val="00231C6F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4A5F"/>
    <w:pPr>
      <w:ind w:left="720"/>
      <w:contextualSpacing/>
    </w:pPr>
  </w:style>
  <w:style w:type="paragraph" w:customStyle="1" w:styleId="Default">
    <w:name w:val="Default"/>
    <w:rsid w:val="0084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customStyle="1" w:styleId="Pa1">
    <w:name w:val="Pa1"/>
    <w:basedOn w:val="Default"/>
    <w:next w:val="Default"/>
    <w:uiPriority w:val="99"/>
    <w:rsid w:val="00846557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846557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1220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Baudoin Farah</dc:creator>
  <cp:keywords/>
  <dc:description/>
  <cp:lastModifiedBy>Simone Rocha</cp:lastModifiedBy>
  <cp:revision>9</cp:revision>
  <dcterms:created xsi:type="dcterms:W3CDTF">2019-05-06T19:40:00Z</dcterms:created>
  <dcterms:modified xsi:type="dcterms:W3CDTF">2019-05-07T00:38:00Z</dcterms:modified>
</cp:coreProperties>
</file>